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C2" w:rsidRDefault="00020EC2" w:rsidP="00EF489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</w:t>
      </w:r>
    </w:p>
    <w:p w:rsidR="00020EC2" w:rsidRDefault="00020EC2" w:rsidP="0066196F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состоянии защиты населения и территорий от чрезвычайных ситуаций и</w:t>
      </w:r>
      <w:r w:rsidR="00EF48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принятых Кавказским управлением Ростехнадзора  мерах</w:t>
      </w:r>
      <w:r w:rsidR="003706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обеспечению их безопасности за</w:t>
      </w:r>
      <w:r w:rsidR="00EF48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2020 год</w:t>
      </w:r>
    </w:p>
    <w:p w:rsidR="0066196F" w:rsidRPr="0066196F" w:rsidRDefault="0066196F" w:rsidP="0066196F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B02BC" w:rsidRPr="007B02BC" w:rsidRDefault="00EF4894" w:rsidP="00EF4894">
      <w:pPr>
        <w:widowControl/>
        <w:spacing w:after="200"/>
        <w:ind w:firstLine="708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7B02BC" w:rsidRPr="007B02BC">
        <w:rPr>
          <w:rFonts w:ascii="Times New Roman" w:hAnsi="Times New Roman" w:cs="Times New Roman"/>
          <w:b/>
          <w:sz w:val="26"/>
          <w:szCs w:val="26"/>
        </w:rPr>
        <w:t>роизводственны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7B02BC" w:rsidRPr="007B02BC">
        <w:rPr>
          <w:rFonts w:ascii="Times New Roman" w:hAnsi="Times New Roman" w:cs="Times New Roman"/>
          <w:b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7B02BC" w:rsidRPr="007B02BC">
        <w:rPr>
          <w:rFonts w:ascii="Times New Roman" w:hAnsi="Times New Roman" w:cs="Times New Roman"/>
          <w:b/>
          <w:sz w:val="26"/>
          <w:szCs w:val="26"/>
        </w:rPr>
        <w:t xml:space="preserve"> химического комплекса, предприяти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7B02BC" w:rsidRPr="007B02BC">
        <w:rPr>
          <w:rFonts w:ascii="Times New Roman" w:hAnsi="Times New Roman" w:cs="Times New Roman"/>
          <w:b/>
          <w:sz w:val="26"/>
          <w:szCs w:val="26"/>
        </w:rPr>
        <w:t xml:space="preserve"> оборонно-промышленного комплекса, хранения и переработки растительного сырья</w:t>
      </w:r>
    </w:p>
    <w:p w:rsidR="006B07D9" w:rsidRDefault="00060ACA" w:rsidP="00060ACA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</w:t>
      </w:r>
      <w:r w:rsidR="006B07D9" w:rsidRPr="003A6A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оличество поднадзорных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ОПО </w:t>
      </w:r>
      <w:proofErr w:type="gramStart"/>
      <w:r w:rsidR="006B07D9" w:rsidRPr="005A5DB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государственного</w:t>
      </w:r>
      <w:proofErr w:type="gramEnd"/>
      <w:r w:rsidR="006B07D9" w:rsidRPr="005A5DB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надзора за опасными производственными объектами 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 классам и видам надзора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:</w:t>
      </w:r>
    </w:p>
    <w:p w:rsidR="006B07D9" w:rsidRDefault="00EF4894" w:rsidP="006B07D9">
      <w:pPr>
        <w:widowControl/>
        <w:tabs>
          <w:tab w:val="left" w:pos="7672"/>
        </w:tabs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EF489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объекты химического комплекса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: всего ОП</w:t>
      </w:r>
      <w:r w:rsidR="00060AC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 - 238 (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из них:</w:t>
      </w:r>
      <w:proofErr w:type="gramEnd"/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val="en-US" w:eastAsia="en-US" w:bidi="ar-SA"/>
        </w:rPr>
        <w:t>I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класс - 7; 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val="en-US" w:eastAsia="en-US" w:bidi="ar-SA"/>
        </w:rPr>
        <w:t>II</w:t>
      </w:r>
      <w:r w:rsidR="006B07D9" w:rsidRPr="00FB6DE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класс - 5</w:t>
      </w:r>
      <w:r w:rsidR="00060AC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; III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класс - 167; 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val="en-US" w:eastAsia="en-US" w:bidi="ar-SA"/>
        </w:rPr>
        <w:t>IV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класс - 59);</w:t>
      </w:r>
    </w:p>
    <w:p w:rsidR="006B07D9" w:rsidRDefault="003706D2" w:rsidP="006B07D9">
      <w:pPr>
        <w:widowControl/>
        <w:tabs>
          <w:tab w:val="left" w:pos="7672"/>
        </w:tabs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3706D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объекты транспортирования опасных веществ</w:t>
      </w:r>
      <w:r w:rsidR="006B07D9" w:rsidRPr="003706D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: 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всего ОПО - 242 (из них:</w:t>
      </w:r>
      <w:proofErr w:type="gramEnd"/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val="en-US" w:eastAsia="en-US" w:bidi="ar-SA"/>
        </w:rPr>
        <w:t>II</w:t>
      </w:r>
      <w:r w:rsidR="006B07D9" w:rsidRPr="00FB6DE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класс - 8; 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val="en-US" w:eastAsia="en-US" w:bidi="ar-SA"/>
        </w:rPr>
        <w:t>III</w:t>
      </w:r>
      <w:r w:rsidR="006B07D9" w:rsidRPr="00FB6DE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класс - 234);</w:t>
      </w:r>
    </w:p>
    <w:p w:rsidR="006B07D9" w:rsidRDefault="00EF4894" w:rsidP="006B07D9">
      <w:pPr>
        <w:widowControl/>
        <w:tabs>
          <w:tab w:val="left" w:pos="7672"/>
        </w:tabs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EF489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предприятия хранения и переработки растительного сырья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: всего ОПО - 787 (из них:</w:t>
      </w:r>
      <w:proofErr w:type="gramEnd"/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val="en-US" w:eastAsia="en-US" w:bidi="ar-SA"/>
        </w:rPr>
        <w:t>II</w:t>
      </w:r>
      <w:r w:rsidR="006B07D9" w:rsidRPr="00FB6DE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класс - 4; 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val="en-US" w:eastAsia="en-US" w:bidi="ar-SA"/>
        </w:rPr>
        <w:t>III</w:t>
      </w:r>
      <w:r w:rsidR="006B07D9" w:rsidRPr="00FB6DE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класс - 373</w:t>
      </w:r>
      <w:proofErr w:type="gramStart"/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;</w:t>
      </w:r>
      <w:r w:rsidR="006B07D9" w:rsidRPr="0099713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val="en-US" w:eastAsia="en-US" w:bidi="ar-SA"/>
        </w:rPr>
        <w:t>IV</w:t>
      </w:r>
      <w:proofErr w:type="gramEnd"/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класс - 410);</w:t>
      </w:r>
    </w:p>
    <w:p w:rsidR="00F72F93" w:rsidRDefault="00060ACA" w:rsidP="004A7648">
      <w:pPr>
        <w:widowControl/>
        <w:tabs>
          <w:tab w:val="left" w:pos="7672"/>
        </w:tabs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ОПО оборонно-промышленного комплекса </w:t>
      </w:r>
      <w:r w:rsidR="006B07D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поднадзорные Кавказскому управлению Ростехнадзора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отсутствуют</w:t>
      </w:r>
      <w:r w:rsidR="004A7648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4A7648" w:rsidRDefault="004A7648" w:rsidP="004A7648">
      <w:pPr>
        <w:widowControl/>
        <w:tabs>
          <w:tab w:val="left" w:pos="7672"/>
        </w:tabs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6B07D9" w:rsidRPr="00EF4894" w:rsidRDefault="00EF4894" w:rsidP="00EF4894">
      <w:pPr>
        <w:widowControl/>
        <w:spacing w:after="200"/>
        <w:ind w:firstLine="708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Потенциально опасные факторы оказывающие влияние на деятельность</w:t>
      </w:r>
      <w:r w:rsidRPr="00EF489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п</w:t>
      </w:r>
      <w:r w:rsidRPr="00EF48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роизводственны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х</w:t>
      </w:r>
      <w:r w:rsidRPr="00EF48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 xml:space="preserve"> объект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ов</w:t>
      </w:r>
      <w:r w:rsidRPr="00EF48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 xml:space="preserve"> химического комплекса, предприятия хранения и переработки растительного сырья</w:t>
      </w:r>
    </w:p>
    <w:p w:rsidR="006B07D9" w:rsidRPr="00BF76F4" w:rsidRDefault="006B07D9" w:rsidP="006B07D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Негативное влияние на состояние промышленной безопасности оказывает значительный износ основных производственных фондов (объектов) поднадзорных организаций (субъектов). При нормативных сроках эксплуатации в пределах 20-30 лет значительная часть оборудования (технических устройств) предприятий к настоящему времени многократно выслужила свои сроки, устарела морально и физически. Для большинства поднадзорных организаций вопрос обновления основных производственных фондов актуален, решается, как правило, в среднесрочной и долгосрочной перспективе, что связано со значительными финансовыми затратами на проведение соответствующих работ. Не способствует активизации работ по обновлению основных производственных фондов поднадзорных организаций и допускаемая законодательством возможность продления срока эксплуатации изношенного оборудования, не урегулированная в полной мере.</w:t>
      </w:r>
    </w:p>
    <w:p w:rsidR="006B07D9" w:rsidRPr="00BF76F4" w:rsidRDefault="006B07D9" w:rsidP="006B07D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Полномасштабного внедрения новых технологий не происходит. Замена технологического оборудования (технических устройств), средств управления/контроля и противоаварийной защиты, отработавших нормативный срок службы </w:t>
      </w:r>
      <w:proofErr w:type="gramStart"/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</w:t>
      </w:r>
      <w:proofErr w:type="gramEnd"/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новые и более эффективные, не является системным и планомерным процессом.</w:t>
      </w:r>
    </w:p>
    <w:p w:rsidR="00F72F93" w:rsidRDefault="00F72F93" w:rsidP="006B07D9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6B07D9" w:rsidRPr="00BF76F4" w:rsidRDefault="006B07D9" w:rsidP="006B07D9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Текущие и ожидаемые тенденции, которые могут оказать воздействие на </w:t>
      </w:r>
      <w:r w:rsidR="006B65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безопасность </w:t>
      </w:r>
      <w:r w:rsidR="006B65CC" w:rsidRPr="006B65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производственных объектов химического комплекса, предприятия хранения и переработки растительного сырья</w:t>
      </w:r>
    </w:p>
    <w:p w:rsidR="006B07D9" w:rsidRPr="00BF76F4" w:rsidRDefault="006B07D9" w:rsidP="006B07D9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6B07D9" w:rsidRPr="00BF76F4" w:rsidRDefault="006B07D9" w:rsidP="006B07D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По результатам проведения контрольно-надзорных мероприятий в отношении поднадзорных субъектов/объектов отмечается:</w:t>
      </w:r>
    </w:p>
    <w:p w:rsidR="006B07D9" w:rsidRPr="00BF76F4" w:rsidRDefault="006B07D9" w:rsidP="006B07D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в части объектов - децентрализация (дробление) производственных комплексов;</w:t>
      </w:r>
    </w:p>
    <w:p w:rsidR="006B07D9" w:rsidRPr="00BF76F4" w:rsidRDefault="006B07D9" w:rsidP="006B07D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 части работников объектов - снижение уровня квалификации работников и отсутствие должной укомплектованности штата работников;</w:t>
      </w:r>
    </w:p>
    <w:p w:rsidR="006B07D9" w:rsidRPr="00BF76F4" w:rsidRDefault="006B07D9" w:rsidP="006B07D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 части субъектов - оптимизация экономической деятельности за счет сокращения штата работников без учета проектной документации (документации), отсутствие должного внимания к организации надзора за состоянием промышленной безопасности и к финансированию работ, направленных на безопасную эксплуатацию производств.</w:t>
      </w:r>
    </w:p>
    <w:p w:rsidR="006B07D9" w:rsidRPr="00BF76F4" w:rsidRDefault="006B07D9" w:rsidP="006B07D9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6B07D9" w:rsidRPr="00BF76F4" w:rsidRDefault="005E2434" w:rsidP="006B07D9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Профилактические</w:t>
      </w:r>
      <w:r w:rsidR="006B07D9" w:rsidRPr="00BF76F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мероприяти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я, направленные на </w:t>
      </w:r>
      <w:r w:rsidRPr="005E2434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защит</w:t>
      </w:r>
      <w:r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у</w:t>
      </w:r>
      <w:r w:rsidRPr="005E2434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 xml:space="preserve"> населения и территорий от чрезвычайных ситуаций</w:t>
      </w:r>
    </w:p>
    <w:p w:rsidR="006B07D9" w:rsidRPr="00BF76F4" w:rsidRDefault="006B07D9" w:rsidP="006B07D9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6B07D9" w:rsidRPr="00BF76F4" w:rsidRDefault="006B07D9" w:rsidP="006B07D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Систематически и централизовано осуществляются мероприятия в рамках профилактики нарушений обязательных требований:</w:t>
      </w:r>
    </w:p>
    <w:p w:rsidR="006B07D9" w:rsidRPr="00BF76F4" w:rsidRDefault="006B07D9" w:rsidP="006B07D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обобщение и анализ правоприменительной практики;</w:t>
      </w:r>
    </w:p>
    <w:p w:rsidR="006B07D9" w:rsidRPr="00BF76F4" w:rsidRDefault="006B07D9" w:rsidP="006B07D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актуализация и размещение перечня типовых нарушений обязательных требований;</w:t>
      </w:r>
    </w:p>
    <w:p w:rsidR="006B07D9" w:rsidRPr="00BF76F4" w:rsidRDefault="006B07D9" w:rsidP="006B07D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актуализация и размещение на официальном сайте Кавказского управления Ростехнадзора перечня нормативных правовых актов, содержащих обязательные требования;</w:t>
      </w:r>
    </w:p>
    <w:p w:rsidR="006B07D9" w:rsidRPr="00BF76F4" w:rsidRDefault="006B07D9" w:rsidP="006B07D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консультирование поднадзорных субъектов и иных заинтересованных лиц по вопросам соблюдения обязательных требований;</w:t>
      </w:r>
    </w:p>
    <w:p w:rsidR="006B07D9" w:rsidRPr="00BF76F4" w:rsidRDefault="006B07D9" w:rsidP="006B07D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участие в публичных мероприятиях.</w:t>
      </w:r>
    </w:p>
    <w:p w:rsidR="00C8606D" w:rsidRDefault="00C8606D" w:rsidP="00AE27C2">
      <w:pPr>
        <w:spacing w:after="18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</w:pPr>
    </w:p>
    <w:p w:rsidR="00666A4A" w:rsidRDefault="00AE27C2" w:rsidP="00AE27C2">
      <w:pPr>
        <w:spacing w:after="18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>Оборудование,</w:t>
      </w:r>
      <w:r w:rsidR="00666A4A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 xml:space="preserve"> работающе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>е</w:t>
      </w:r>
      <w:r w:rsidR="00666A4A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 xml:space="preserve"> под избыточным давлением,</w:t>
      </w:r>
      <w:r w:rsidR="00666A4A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br/>
        <w:t>опасны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>е</w:t>
      </w:r>
      <w:r w:rsidR="00666A4A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 xml:space="preserve"> производственны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>е</w:t>
      </w:r>
      <w:r w:rsidR="00666A4A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 xml:space="preserve"> объект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>ы</w:t>
      </w:r>
      <w:r w:rsidR="00666A4A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>, на которых</w:t>
      </w:r>
      <w:r w:rsidR="00666A4A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br/>
        <w:t>используются подъемные сооружения</w:t>
      </w:r>
    </w:p>
    <w:p w:rsidR="00666A4A" w:rsidRDefault="00666A4A" w:rsidP="00666A4A">
      <w:pPr>
        <w:tabs>
          <w:tab w:val="left" w:pos="-426"/>
        </w:tabs>
        <w:spacing w:line="261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bookmark63"/>
      <w:bookmarkEnd w:id="0"/>
      <w:r>
        <w:rPr>
          <w:rFonts w:ascii="Times New Roman" w:eastAsia="Times New Roman" w:hAnsi="Times New Roman" w:cs="Times New Roman"/>
          <w:sz w:val="26"/>
          <w:szCs w:val="26"/>
        </w:rPr>
        <w:tab/>
        <w:t>Общее количество оборудования работающего под избыточным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давлением, эксплуатируемого на поднадзорных предприятиях и организациях,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A07441">
        <w:rPr>
          <w:rFonts w:ascii="Times New Roman" w:eastAsia="Times New Roman" w:hAnsi="Times New Roman" w:cs="Times New Roman"/>
          <w:sz w:val="26"/>
          <w:szCs w:val="26"/>
        </w:rPr>
        <w:t>составляет 13</w:t>
      </w:r>
      <w:r>
        <w:rPr>
          <w:rFonts w:ascii="Times New Roman" w:eastAsia="Times New Roman" w:hAnsi="Times New Roman" w:cs="Times New Roman"/>
          <w:sz w:val="26"/>
          <w:szCs w:val="26"/>
        </w:rPr>
        <w:t>128, из них:</w:t>
      </w:r>
    </w:p>
    <w:p w:rsidR="00666A4A" w:rsidRDefault="007F1C8D" w:rsidP="007F1C8D">
      <w:pPr>
        <w:tabs>
          <w:tab w:val="left" w:pos="709"/>
        </w:tabs>
        <w:spacing w:line="261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66A4A">
        <w:rPr>
          <w:rFonts w:ascii="Times New Roman" w:eastAsia="Times New Roman" w:hAnsi="Times New Roman" w:cs="Times New Roman"/>
          <w:sz w:val="26"/>
          <w:szCs w:val="26"/>
        </w:rPr>
        <w:t>2 632 котлов, в том числе 142 импортного производства;</w:t>
      </w:r>
    </w:p>
    <w:p w:rsidR="00666A4A" w:rsidRDefault="00666A4A" w:rsidP="00666A4A">
      <w:pPr>
        <w:spacing w:line="261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8317 сосуд</w:t>
      </w:r>
      <w:r w:rsidR="00A07441"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</w:t>
      </w:r>
      <w:r w:rsidR="00A07441"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 избыточным давлением, в том числе 1286 импортного производства;</w:t>
      </w:r>
    </w:p>
    <w:p w:rsidR="00666A4A" w:rsidRDefault="00666A4A" w:rsidP="00666A4A">
      <w:pPr>
        <w:spacing w:line="26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713 трубопроводов пара и горячей воды, в том числе 38 импортного производства.</w:t>
      </w:r>
    </w:p>
    <w:p w:rsidR="00666A4A" w:rsidRDefault="00666A4A" w:rsidP="00666A4A">
      <w:pPr>
        <w:spacing w:line="25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Количество подъемных сооружений составляет 3 582 единиц, из них:</w:t>
      </w:r>
    </w:p>
    <w:p w:rsidR="00666A4A" w:rsidRDefault="00666A4A" w:rsidP="00666A4A">
      <w:pPr>
        <w:spacing w:line="25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2 839 грузоподъемных кранов;</w:t>
      </w:r>
    </w:p>
    <w:p w:rsidR="00666A4A" w:rsidRDefault="00666A4A" w:rsidP="00666A4A">
      <w:pPr>
        <w:spacing w:line="25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626 подъемников</w:t>
      </w:r>
      <w:r w:rsidR="00F72F9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F72F9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вышек;</w:t>
      </w:r>
    </w:p>
    <w:p w:rsidR="00666A4A" w:rsidRDefault="00666A4A" w:rsidP="00666A4A">
      <w:pPr>
        <w:spacing w:line="25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35 пассажирских канатных дорог;</w:t>
      </w:r>
    </w:p>
    <w:p w:rsidR="00666A4A" w:rsidRDefault="00666A4A" w:rsidP="00666A4A">
      <w:pPr>
        <w:spacing w:line="25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8 буксировочные канатные дороги;</w:t>
      </w:r>
    </w:p>
    <w:p w:rsidR="00666A4A" w:rsidRDefault="00666A4A" w:rsidP="00666A4A">
      <w:pPr>
        <w:spacing w:after="240" w:line="25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74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строительных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подъемника.</w:t>
      </w:r>
    </w:p>
    <w:p w:rsidR="0001467D" w:rsidRDefault="0001467D" w:rsidP="00AE27C2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bookmark67"/>
      <w:bookmarkEnd w:id="1"/>
    </w:p>
    <w:p w:rsidR="0001467D" w:rsidRDefault="0001467D" w:rsidP="00AE27C2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467D" w:rsidRDefault="0001467D" w:rsidP="00AE27C2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E27C2" w:rsidRPr="00AE27C2" w:rsidRDefault="00AE27C2" w:rsidP="00AE27C2">
      <w:pPr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AE27C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Потенциально опасные факторы оказывающие влияние на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</w:t>
      </w:r>
      <w:r w:rsidRPr="00AE27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борудование, работающее под избыточным давлением,</w:t>
      </w:r>
      <w:r w:rsidRPr="00AE27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br/>
        <w:t>опасные производственные объекты, на которых</w:t>
      </w:r>
      <w:r w:rsidRPr="00AE27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br/>
        <w:t>используются подъемные сооружения</w:t>
      </w:r>
    </w:p>
    <w:p w:rsidR="00AE27C2" w:rsidRDefault="00AE27C2" w:rsidP="00666A4A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6A4A" w:rsidRDefault="00AE27C2" w:rsidP="00666A4A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Основные проблемы</w:t>
      </w:r>
      <w:r w:rsidR="00666A4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связанны с реализацией требований вновь введенных технических регламентов, а именно к впервые вводимом оборудовании, работающим под давлением более 0,07 МПа или при температуре нагрева воды более 115°C, прилагаются сертификаты, оформленные не в соответствии с Решением коллегии Евразийской экономической комиссии от 25.12.2012 № 293.</w:t>
      </w:r>
      <w:proofErr w:type="gramEnd"/>
    </w:p>
    <w:p w:rsidR="00666A4A" w:rsidRDefault="00666A4A" w:rsidP="00666A4A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К основным недостаткам, выявленных в ходе проводимых проверок, следует отнести:</w:t>
      </w:r>
    </w:p>
    <w:p w:rsidR="00666A4A" w:rsidRDefault="00666A4A" w:rsidP="00666A4A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- несвоевременное проведение работ по диагностированию оборудования работающего под давлением;</w:t>
      </w:r>
    </w:p>
    <w:p w:rsidR="00666A4A" w:rsidRDefault="00666A4A" w:rsidP="00666A4A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несвоевременное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проведения работ по экспертизе технических устройств;</w:t>
      </w:r>
    </w:p>
    <w:p w:rsidR="00666A4A" w:rsidRDefault="00666A4A" w:rsidP="00666A4A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- не выполнение в полном объеме специалистами и рабочими своих должностных и производственных обязанностей.</w:t>
      </w:r>
    </w:p>
    <w:p w:rsidR="00666A4A" w:rsidRDefault="00666A4A" w:rsidP="00666A4A">
      <w:pPr>
        <w:spacing w:after="340" w:line="25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Общий износ лифтов, из которых более 27 % отработали назначенный срок службы, а также исключение лифтов из категории ОПО (с 15.03.2013) и отсутствие на данный момент федерального органа исполнительной власти, уполномоченного на осуществление контроля (надзора) за соблюдением требований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, утвержденных постановлением Правительства Российской Федерации от 24.06.2047 № 743, исключает возможность проверки соблюдения требований, соблюдение которых напрямую сказывается на уровне безопасности при эксплуатации опасных объектов.</w:t>
      </w:r>
    </w:p>
    <w:p w:rsidR="00AE27C2" w:rsidRPr="00AE27C2" w:rsidRDefault="00666A4A" w:rsidP="00AE27C2">
      <w:pPr>
        <w:keepNext/>
        <w:keepLines/>
        <w:widowControl/>
        <w:tabs>
          <w:tab w:val="left" w:pos="1134"/>
        </w:tabs>
        <w:spacing w:after="220" w:line="256" w:lineRule="auto"/>
        <w:ind w:left="85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bookmarkStart w:id="2" w:name="bookmark71"/>
      <w:bookmarkStart w:id="3" w:name="bookmark69"/>
      <w:bookmarkStart w:id="4" w:name="bookmark70"/>
      <w:bookmarkStart w:id="5" w:name="bookmark72"/>
      <w:bookmarkEnd w:id="2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Текущие и ожидаемые тенденции, которые могут оказать воздействие</w:t>
      </w:r>
      <w:r w:rsidR="00AA6E2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6E2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</w:t>
      </w:r>
      <w:bookmarkEnd w:id="3"/>
      <w:bookmarkEnd w:id="4"/>
      <w:bookmarkEnd w:id="5"/>
      <w:r w:rsidR="00AE27C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безопасность </w:t>
      </w:r>
      <w:r w:rsidR="00AE27C2" w:rsidRPr="00AE27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оборудовани</w:t>
      </w:r>
      <w:r w:rsidR="00AE27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я</w:t>
      </w:r>
      <w:r w:rsidR="00AE27C2" w:rsidRPr="00AE27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, работающе</w:t>
      </w:r>
      <w:r w:rsidR="00AE27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го под избыточным давлением, </w:t>
      </w:r>
      <w:r w:rsidR="00AE27C2" w:rsidRPr="00AE27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опасны</w:t>
      </w:r>
      <w:r w:rsidR="00AE27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х</w:t>
      </w:r>
      <w:r w:rsidR="00AE27C2" w:rsidRPr="00AE27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производственны</w:t>
      </w:r>
      <w:r w:rsidR="00AE27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х</w:t>
      </w:r>
      <w:r w:rsidR="00AE27C2" w:rsidRPr="00AE27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объект</w:t>
      </w:r>
      <w:r w:rsidR="00AE27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ов</w:t>
      </w:r>
      <w:r w:rsidR="00AE27C2" w:rsidRPr="00AE27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, на которых</w:t>
      </w:r>
      <w:r w:rsidR="00AE27C2" w:rsidRPr="00AE27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br/>
        <w:t>используются подъемные сооружения</w:t>
      </w:r>
    </w:p>
    <w:p w:rsidR="00666A4A" w:rsidRDefault="00666A4A" w:rsidP="00666A4A">
      <w:pPr>
        <w:keepNext/>
        <w:keepLines/>
        <w:tabs>
          <w:tab w:val="left" w:pos="2791"/>
        </w:tabs>
        <w:spacing w:after="220" w:line="256" w:lineRule="auto"/>
        <w:ind w:left="72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66A4A" w:rsidRDefault="00666A4A" w:rsidP="00666A4A">
      <w:pPr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качестве текущих и ожидаемых тенденций можно отметить:</w:t>
      </w:r>
    </w:p>
    <w:p w:rsidR="00666A4A" w:rsidRDefault="00666A4A" w:rsidP="00666A4A">
      <w:pPr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замедление темпа роста числа поднадзорных технических устройств, отработавших нормативный срок службы (ввод в эксплуатацию нового оборудования);</w:t>
      </w:r>
    </w:p>
    <w:p w:rsidR="00666A4A" w:rsidRDefault="00666A4A" w:rsidP="00666A4A">
      <w:pPr>
        <w:spacing w:after="160" w:line="264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ухудшение дисциплины обслуживающего персонала, руководителей и специалистов предприятий (организаций), осуществляющих эксплуатацию, ремонт, освидетельствование, диагностирование оборудования.</w:t>
      </w:r>
    </w:p>
    <w:p w:rsidR="00AE27C2" w:rsidRPr="00AE27C2" w:rsidRDefault="00AE27C2" w:rsidP="00AE27C2">
      <w:pPr>
        <w:keepNext/>
        <w:keepLines/>
        <w:widowControl/>
        <w:spacing w:after="160" w:line="256" w:lineRule="auto"/>
        <w:ind w:left="72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" w:name="bookmark75"/>
      <w:bookmarkEnd w:id="6"/>
      <w:r w:rsidRPr="00AE27C2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Профилактические мероприятия, направленные на защиту населения и территорий от чрезвычайных ситуаций</w:t>
      </w:r>
    </w:p>
    <w:p w:rsidR="00666A4A" w:rsidRDefault="00666A4A" w:rsidP="00666A4A">
      <w:pPr>
        <w:keepNext/>
        <w:keepLines/>
        <w:widowControl/>
        <w:spacing w:after="160" w:line="256" w:lineRule="auto"/>
        <w:ind w:left="72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66A4A" w:rsidRDefault="00666A4A" w:rsidP="00AE27C2">
      <w:pPr>
        <w:spacing w:line="261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AE27C2">
        <w:rPr>
          <w:rFonts w:ascii="Times New Roman" w:eastAsia="Times New Roman" w:hAnsi="Times New Roman" w:cs="Times New Roman"/>
          <w:sz w:val="26"/>
          <w:szCs w:val="26"/>
        </w:rPr>
        <w:t>с требованиями законодательства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официальном сайте Ростехнадзора в сети «Интернет» размещены Перечни нормативных правовых актов, содержащих обязательные требования. </w:t>
      </w:r>
      <w:r w:rsidR="00AE27C2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Ежеквартально готовятся обзоры правоприменительной практики. Регулярно проводится актуализация размещенной на официальном сайте информации об организациях, имеющих выданные Ростехнадзором шифры клейм для клеймения баллонов, а также сведения об организациях, имеющих право на проведение технического освидетельствования оборудования, работающего под избыточным давлением.</w:t>
      </w:r>
    </w:p>
    <w:p w:rsidR="00AE27C2" w:rsidRDefault="00666A4A" w:rsidP="00AE27C2">
      <w:pPr>
        <w:spacing w:line="261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обеспечения информирования широкого круга лиц по отдельным вопросам надзора за оборудованием, работающим под избыточным давлением, и подъемными сооружениями на постоянной основе ведется рубрика официального сайта Ростехнадзора «Часто задаваемые вопросы». </w:t>
      </w:r>
      <w:bookmarkStart w:id="7" w:name="bookmark77"/>
      <w:bookmarkEnd w:id="7"/>
    </w:p>
    <w:p w:rsidR="0001467D" w:rsidRDefault="0001467D" w:rsidP="00AE27C2">
      <w:pPr>
        <w:widowControl/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8" w:name="bookmark78"/>
      <w:bookmarkEnd w:id="8"/>
    </w:p>
    <w:p w:rsidR="002B72BC" w:rsidRPr="00AE27C2" w:rsidRDefault="00AE27C2" w:rsidP="00AE27C2">
      <w:pPr>
        <w:widowControl/>
        <w:spacing w:after="200" w:line="276" w:lineRule="auto"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Г</w:t>
      </w:r>
      <w:r w:rsidR="002B72BC" w:rsidRPr="00AA6E29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орнорудн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ая</w:t>
      </w:r>
      <w:r w:rsidR="002B72BC" w:rsidRPr="00AA6E29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и металлургическ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ая</w:t>
      </w:r>
      <w:r w:rsidR="002B72BC" w:rsidRPr="00AA6E29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промышленност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ь</w:t>
      </w:r>
    </w:p>
    <w:p w:rsidR="002B72BC" w:rsidRPr="00AA6E29" w:rsidRDefault="002B72BC" w:rsidP="002B72B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AA6E2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Под надзором  (контролем) Кавказского управления Ростехнадзора в 2020 году находилось 378 опасных производственных объектов.</w:t>
      </w:r>
    </w:p>
    <w:p w:rsidR="002B72BC" w:rsidRPr="00AA6E29" w:rsidRDefault="002B72BC" w:rsidP="002B72B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AA6E2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 числе основных технических устройств, эксплуатируемых на объектах металлургического производства: электродуговые печи – 8, индукционные печи – 20, плавильные пламенные печи – 7, электролизеры – 5.</w:t>
      </w:r>
    </w:p>
    <w:p w:rsidR="002B72BC" w:rsidRPr="00AA6E29" w:rsidRDefault="002B72BC" w:rsidP="002B72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E29">
        <w:rPr>
          <w:rFonts w:ascii="Times New Roman" w:hAnsi="Times New Roman" w:cs="Times New Roman"/>
          <w:sz w:val="26"/>
          <w:szCs w:val="26"/>
        </w:rPr>
        <w:t xml:space="preserve">За отчётный период горнорудной и нерудной промышленности </w:t>
      </w:r>
      <w:r w:rsidR="00A43DF6" w:rsidRPr="00AA6E2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E361B">
        <w:rPr>
          <w:rFonts w:ascii="Times New Roman" w:hAnsi="Times New Roman" w:cs="Times New Roman"/>
          <w:sz w:val="26"/>
          <w:szCs w:val="26"/>
        </w:rPr>
        <w:t xml:space="preserve">на </w:t>
      </w:r>
      <w:r w:rsidRPr="00AA6E29">
        <w:rPr>
          <w:rFonts w:ascii="Times New Roman" w:hAnsi="Times New Roman" w:cs="Times New Roman"/>
          <w:sz w:val="26"/>
          <w:szCs w:val="26"/>
        </w:rPr>
        <w:t xml:space="preserve">территории, поднадзорной Кавказскому управлению Ростехнадзора, находилось 42 опасных производственных объектов, из них:  объекты добычи полезных ископаемых открытым способом - 38 шт., объекты цветной металлургии - 3 шт., объекты добычи горно-химического сырья - 1 шт., объекты, находящиеся в стадии строительства – 0 шт. </w:t>
      </w:r>
    </w:p>
    <w:p w:rsidR="002B72BC" w:rsidRPr="00AA6E29" w:rsidRDefault="002B72BC" w:rsidP="002B72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E29">
        <w:rPr>
          <w:rFonts w:ascii="Times New Roman" w:hAnsi="Times New Roman" w:cs="Times New Roman"/>
          <w:sz w:val="26"/>
          <w:szCs w:val="26"/>
        </w:rPr>
        <w:t>Годовой объем добычи горной массы всего – 2879,01 тыс. м</w:t>
      </w:r>
      <w:r w:rsidRPr="00AA6E2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AA6E29">
        <w:rPr>
          <w:rFonts w:ascii="Times New Roman" w:hAnsi="Times New Roman" w:cs="Times New Roman"/>
          <w:sz w:val="26"/>
          <w:szCs w:val="26"/>
        </w:rPr>
        <w:t>, из них: подземным способом – 109,37 тыс. м</w:t>
      </w:r>
      <w:r w:rsidRPr="00AA6E2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AA6E29">
        <w:rPr>
          <w:rFonts w:ascii="Times New Roman" w:hAnsi="Times New Roman" w:cs="Times New Roman"/>
          <w:sz w:val="26"/>
          <w:szCs w:val="26"/>
        </w:rPr>
        <w:t>, открытым способом – 2769,64 тыс. м</w:t>
      </w:r>
      <w:r w:rsidRPr="00AA6E2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AA6E29">
        <w:rPr>
          <w:rFonts w:ascii="Times New Roman" w:hAnsi="Times New Roman" w:cs="Times New Roman"/>
          <w:sz w:val="26"/>
          <w:szCs w:val="26"/>
        </w:rPr>
        <w:t>.</w:t>
      </w:r>
    </w:p>
    <w:p w:rsidR="002B72BC" w:rsidRPr="00AA6E29" w:rsidRDefault="002B72BC" w:rsidP="002B72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E29">
        <w:rPr>
          <w:rFonts w:ascii="Times New Roman" w:hAnsi="Times New Roman" w:cs="Times New Roman"/>
          <w:sz w:val="26"/>
          <w:szCs w:val="26"/>
        </w:rPr>
        <w:t xml:space="preserve">Общая численность работающих на поднадзорных объектах - 1206 чел. </w:t>
      </w:r>
    </w:p>
    <w:p w:rsidR="002B72BC" w:rsidRPr="00AA6E29" w:rsidRDefault="002B72BC" w:rsidP="002B72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E2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Под надзором за обращением взрывчатых материалов промышленного назначения </w:t>
      </w:r>
      <w:r w:rsidRPr="00AA6E29">
        <w:rPr>
          <w:rFonts w:ascii="Times New Roman" w:hAnsi="Times New Roman" w:cs="Times New Roman"/>
          <w:sz w:val="26"/>
          <w:szCs w:val="26"/>
        </w:rPr>
        <w:t>под контролем Кавказского управления Ростехнадзора находилась 30 поднадзорных организаций, (53 поднадзорных объекта). Выдано разрешений на ведение работ с взрывчатыми материалами 89 шт.</w:t>
      </w:r>
    </w:p>
    <w:p w:rsidR="002B72BC" w:rsidRPr="00AA6E29" w:rsidRDefault="002B72BC" w:rsidP="002B72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E29">
        <w:rPr>
          <w:rFonts w:ascii="Times New Roman" w:hAnsi="Times New Roman" w:cs="Times New Roman"/>
          <w:sz w:val="26"/>
          <w:szCs w:val="26"/>
        </w:rPr>
        <w:t>Выдано единых книжек взрывника  - 25 шт.</w:t>
      </w:r>
    </w:p>
    <w:p w:rsidR="002B72BC" w:rsidRPr="00AA6E29" w:rsidRDefault="002B72BC" w:rsidP="002B72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E29">
        <w:rPr>
          <w:rFonts w:ascii="Times New Roman" w:hAnsi="Times New Roman" w:cs="Times New Roman"/>
          <w:sz w:val="26"/>
          <w:szCs w:val="26"/>
        </w:rPr>
        <w:t xml:space="preserve">Случаев утрат взрывчатых материалов промышленного назначения </w:t>
      </w:r>
      <w:r w:rsidR="00A43DF6" w:rsidRPr="00AA6E2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A6E29">
        <w:rPr>
          <w:rFonts w:ascii="Times New Roman" w:hAnsi="Times New Roman" w:cs="Times New Roman"/>
          <w:sz w:val="26"/>
          <w:szCs w:val="26"/>
        </w:rPr>
        <w:t xml:space="preserve">за отчетный период не было. </w:t>
      </w:r>
      <w:r w:rsidRPr="00AA6E2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Из них объектов I класса опасности – 0.</w:t>
      </w:r>
    </w:p>
    <w:p w:rsidR="002B72BC" w:rsidRPr="00AA6E29" w:rsidRDefault="002B72BC" w:rsidP="002B72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E29">
        <w:rPr>
          <w:rFonts w:ascii="Times New Roman" w:hAnsi="Times New Roman" w:cs="Times New Roman"/>
          <w:sz w:val="26"/>
          <w:szCs w:val="26"/>
        </w:rPr>
        <w:t xml:space="preserve">За отчётный период за безопасным недропользованием                             </w:t>
      </w:r>
      <w:r w:rsidR="004E361B">
        <w:rPr>
          <w:rFonts w:ascii="Times New Roman" w:hAnsi="Times New Roman" w:cs="Times New Roman"/>
          <w:sz w:val="26"/>
          <w:szCs w:val="26"/>
        </w:rPr>
        <w:t xml:space="preserve">     и </w:t>
      </w:r>
      <w:r w:rsidRPr="00AA6E29">
        <w:rPr>
          <w:rFonts w:ascii="Times New Roman" w:hAnsi="Times New Roman" w:cs="Times New Roman"/>
          <w:sz w:val="26"/>
          <w:szCs w:val="26"/>
        </w:rPr>
        <w:t xml:space="preserve">маркшейдерским обеспечением горных работ число поднадзорных организаций составляет 306 шт., число поднадзорных объектов 687 шт. Специализированных маркшейдерских организаций 20 </w:t>
      </w:r>
      <w:proofErr w:type="spellStart"/>
      <w:proofErr w:type="gramStart"/>
      <w:r w:rsidRPr="00AA6E29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AA6E29">
        <w:rPr>
          <w:rFonts w:ascii="Times New Roman" w:hAnsi="Times New Roman" w:cs="Times New Roman"/>
          <w:sz w:val="26"/>
          <w:szCs w:val="26"/>
        </w:rPr>
        <w:t xml:space="preserve">, по безопасному недропользованию и маркшейдерскому обеспечению горных работ – </w:t>
      </w:r>
      <w:r w:rsidR="00A43DF6" w:rsidRPr="00AA6E2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A6E29">
        <w:rPr>
          <w:rFonts w:ascii="Times New Roman" w:hAnsi="Times New Roman" w:cs="Times New Roman"/>
          <w:sz w:val="26"/>
          <w:szCs w:val="26"/>
        </w:rPr>
        <w:t>не выявлено.</w:t>
      </w:r>
    </w:p>
    <w:p w:rsidR="002B72BC" w:rsidRPr="00AA6E29" w:rsidRDefault="002B72BC" w:rsidP="002B72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E29">
        <w:rPr>
          <w:rFonts w:ascii="Times New Roman" w:hAnsi="Times New Roman" w:cs="Times New Roman"/>
          <w:sz w:val="26"/>
          <w:szCs w:val="26"/>
        </w:rPr>
        <w:t>Рассмотрено планов развития горных работ 210 шт., согласовано 207 шт. Рассмотрено проектов горных отводов 23 шт., оформлено 22 шт.</w:t>
      </w:r>
    </w:p>
    <w:p w:rsidR="002B72BC" w:rsidRPr="00AA6E29" w:rsidRDefault="002B72BC" w:rsidP="002B72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E29">
        <w:rPr>
          <w:rFonts w:ascii="Times New Roman" w:hAnsi="Times New Roman" w:cs="Times New Roman"/>
          <w:sz w:val="26"/>
          <w:szCs w:val="26"/>
        </w:rPr>
        <w:t>Рассмотрено материалов для получения лицензий на производство маркшейдерских работ (ПМ) 9 шт., оформлено 8 шт.</w:t>
      </w:r>
    </w:p>
    <w:p w:rsidR="002B72BC" w:rsidRPr="00AA6E29" w:rsidRDefault="002B72BC" w:rsidP="002B72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E29">
        <w:rPr>
          <w:rFonts w:ascii="Times New Roman" w:hAnsi="Times New Roman" w:cs="Times New Roman"/>
          <w:sz w:val="26"/>
          <w:szCs w:val="26"/>
        </w:rPr>
        <w:t xml:space="preserve">Штрафов не наложено. </w:t>
      </w:r>
    </w:p>
    <w:p w:rsidR="002B72BC" w:rsidRDefault="002B72BC" w:rsidP="002B72BC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4E361B" w:rsidRPr="004E361B" w:rsidRDefault="004E361B" w:rsidP="004E361B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 w:rsidRPr="004E361B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lastRenderedPageBreak/>
        <w:t xml:space="preserve">Потенциально опасные факторы оказывающие влияние на 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г</w:t>
      </w:r>
      <w:r w:rsidRPr="004E361B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орнорудн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ую</w:t>
      </w:r>
      <w:r w:rsidRPr="004E361B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и металлургическ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ую</w:t>
      </w:r>
      <w:r w:rsidRPr="004E361B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промышленность</w:t>
      </w:r>
    </w:p>
    <w:p w:rsidR="002B72BC" w:rsidRPr="00BF76F4" w:rsidRDefault="002B72BC" w:rsidP="00C8606D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Ключевыми наиболее значимыми рисками возникновения аварий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                       </w:t>
      </w: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 смертельных несчастных случаев являются:</w:t>
      </w:r>
    </w:p>
    <w:p w:rsidR="002B72BC" w:rsidRPr="00BF76F4" w:rsidRDefault="002B72BC" w:rsidP="002B72B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неэффективность и несоответствие требованиям законодательства систем управления промышленной безопасностью: не организовано материальное и финансовое обеспечение, отсутствует планирование мероприятий по снижению риска аварий, не установлен порядок обеспечения безопасности опытного применения технических устройств;</w:t>
      </w:r>
    </w:p>
    <w:p w:rsidR="002B72BC" w:rsidRPr="00BF76F4" w:rsidRDefault="002B72BC" w:rsidP="002B72B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низкий уровень производственного контроля: не установлена ответственность руководителя, отсутствует порядок принятия решений о проведении экспертиз промышленной безопасности;</w:t>
      </w:r>
    </w:p>
    <w:p w:rsidR="002B72BC" w:rsidRPr="00BF76F4" w:rsidRDefault="002B72BC" w:rsidP="002B72B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производственный персонал не обучен порядку действий при авариях, вспомогательные горноспасательные команды не соответствуют действующим требованиям в вопросах организации, оснащения и аттестации;</w:t>
      </w:r>
    </w:p>
    <w:p w:rsidR="002B72BC" w:rsidRPr="00BF76F4" w:rsidRDefault="002B72BC" w:rsidP="002B72BC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2B72BC" w:rsidRPr="00BF76F4" w:rsidRDefault="002B72BC" w:rsidP="002B72BC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Текущие и ожидаемые тенденции, которые могут оказать воздействие на </w:t>
      </w:r>
      <w:r w:rsidR="00C8606D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безопасность </w:t>
      </w:r>
      <w:r w:rsidR="00C8606D" w:rsidRPr="00C8606D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горнорудн</w:t>
      </w:r>
      <w:r w:rsidR="00C8606D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ой</w:t>
      </w:r>
      <w:r w:rsidR="00C8606D" w:rsidRPr="00C8606D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и металлургическ</w:t>
      </w:r>
      <w:r w:rsidR="00C8606D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ой</w:t>
      </w:r>
      <w:r w:rsidR="00C8606D" w:rsidRPr="00C8606D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промышленност</w:t>
      </w:r>
      <w:r w:rsidR="00C8606D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и</w:t>
      </w:r>
    </w:p>
    <w:p w:rsidR="002B72BC" w:rsidRPr="00BF76F4" w:rsidRDefault="002B72BC" w:rsidP="002B72BC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2B72BC" w:rsidRPr="00BF76F4" w:rsidRDefault="002B72BC" w:rsidP="002B72B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 ближайшие годы решающее влияние на состояние поднадзорной среды будет оказывать совершенствование системы мониторинга и прогнозирования ЧС природного и техногенного характера и прежде всего оснащение ОНО системами позиционирования персонала (СПП) и доработка СПП в части функции обнаружения персонала под завалами.</w:t>
      </w:r>
    </w:p>
    <w:p w:rsidR="002B72BC" w:rsidRPr="00BF76F4" w:rsidRDefault="002B72BC" w:rsidP="002B72BC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C8606D" w:rsidRPr="00C8606D" w:rsidRDefault="00C8606D" w:rsidP="00C8606D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  <w:r w:rsidRPr="00C8606D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Профилактические мероприятия, направленные на защиту населения и территорий от чрезвычайных ситуаций</w:t>
      </w:r>
    </w:p>
    <w:p w:rsidR="002B72BC" w:rsidRPr="00BF76F4" w:rsidRDefault="002B72BC" w:rsidP="002B72BC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2B72BC" w:rsidRPr="00BF76F4" w:rsidRDefault="002B72BC" w:rsidP="002B72B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Кавказским управлением Ростехнадзора проводятся постоянный анализ состояния промышленной безопасности на поднадзорных объектах и методическая работа по соблюдению обязательных требований, осуществляются действия по предотвращению случаев аварийности и травматизма и устранению их причин.</w:t>
      </w:r>
    </w:p>
    <w:p w:rsidR="002B72BC" w:rsidRPr="00BF76F4" w:rsidRDefault="002B72BC" w:rsidP="002B72B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 целью совершенствования норм промышленной безопасности, постоянно проводится анализ правоприменительной практики нормативных документов на поднадзорных объектах, а также предложений, поступающих от производственных, проектных, научных и экспертных организаций и граждан.</w:t>
      </w:r>
    </w:p>
    <w:p w:rsidR="002B72BC" w:rsidRPr="00BF76F4" w:rsidRDefault="002B72BC" w:rsidP="002B72B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Осуществляется ежеквартальная отчётность Управлению горного надзора Федеральной службы по экологическому, технологическому и атомному надзору  по представлению сведений о массовых взрывах, проведённых на территории подконтрольной Кавказскому управлению Ростехнадзора и планируемых взрывах на следующий квартал.</w:t>
      </w:r>
    </w:p>
    <w:p w:rsidR="002B72BC" w:rsidRPr="00BF76F4" w:rsidRDefault="002B72BC" w:rsidP="002B72B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Специалисты Кавказского управления Ростехнадзора участвуют в деятельности комиссий: По аттестации аварийно-спасательных служб (формирований), по рассмотрению проектной документации на разработку месторождений, по рассмотрению заявок об изменении границ участков недр, предоставленных в пользование. Анализируются материалы расследований аварий, случаев группового и смертельного травматизма. Оценивается достоверность определения причин произошедшего, достаточность мероприятий по устранению </w:t>
      </w: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причин и предотвращению подобных случаев. Информация о причинах и обстоятельствах случаев аварийности и травматизма и мероприятиях по их устранению направляется в ЦА.</w:t>
      </w:r>
    </w:p>
    <w:p w:rsidR="002B72BC" w:rsidRPr="00BF76F4" w:rsidRDefault="002B72BC" w:rsidP="002B72B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Сотрудники Кавказского управления Ростехнадзора принимают участие в организации и работе конференций, совещаний, семинаров с докладами об актуальных вопросах нормативно-правового регулирования в области промышленной безопасности, принимаемых мерах по предотвращению случаев аварийности и травматизма и совершенствованию контрольно-надзорной деятельности на поднадзорных объектах.</w:t>
      </w:r>
    </w:p>
    <w:p w:rsidR="002B72BC" w:rsidRPr="00BF76F4" w:rsidRDefault="002B72BC" w:rsidP="002B72B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 ответ на обращения граждан и организаций в приёмную Кавказского управления  Ростехнадзора готовятся разъяснения требований промышленной безопасности по направлениям деятельности горного надзора.</w:t>
      </w:r>
    </w:p>
    <w:p w:rsidR="002B72BC" w:rsidRPr="00BF76F4" w:rsidRDefault="002B72BC" w:rsidP="002B72B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BF76F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Информация о результатах контрольно-надзорных мероприятий, проведённых конференциях и семинарах, вступивших в силу нормативных правовых актах, размещается в открытом доступе на официальном сайте Кавказского управления Ростехнадзора.</w:t>
      </w:r>
    </w:p>
    <w:p w:rsidR="002B72BC" w:rsidRDefault="002B72BC"/>
    <w:p w:rsidR="0097365F" w:rsidRPr="00C8606D" w:rsidRDefault="00C8606D" w:rsidP="00C8606D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О</w:t>
      </w:r>
      <w:r w:rsidR="0097365F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бъект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ы нефтегазового комплекса</w:t>
      </w:r>
    </w:p>
    <w:p w:rsidR="0097365F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Общее количество поднадзорных опасных производственных объектов нефтегазового комплекса составляет 6174 опасных производственных объектов, из них: </w:t>
      </w:r>
    </w:p>
    <w:p w:rsidR="0097365F" w:rsidRPr="00AC5411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AC541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242 опасных производственных объектов нефтегазодобывающей промышленности; 170 опасных производственных объектов нефтехимической, нефтегазоперерабатывающей промышленности и объектов нефтепродуктообеспечения; </w:t>
      </w:r>
    </w:p>
    <w:p w:rsidR="0097365F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AC541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585 опасных производственных объектов магистрального трубопроводного транспорта;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</w:t>
      </w:r>
    </w:p>
    <w:p w:rsidR="0097365F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Разделение опасных производственных объектов по классам опасности следующее</w:t>
      </w:r>
      <w:r w:rsidRPr="00AC541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: </w:t>
      </w:r>
      <w:proofErr w:type="gramStart"/>
      <w:r w:rsidRPr="00AC5411">
        <w:rPr>
          <w:rFonts w:ascii="Times New Roman" w:eastAsiaTheme="minorHAnsi" w:hAnsi="Times New Roman" w:cs="Times New Roman"/>
          <w:color w:val="auto"/>
          <w:sz w:val="26"/>
          <w:szCs w:val="26"/>
          <w:lang w:val="en-US" w:eastAsia="en-US" w:bidi="ar-SA"/>
        </w:rPr>
        <w:t>I</w:t>
      </w:r>
      <w:r w:rsidRPr="00AC541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класса опасности – 25, </w:t>
      </w:r>
      <w:r w:rsidRPr="00AC5411">
        <w:rPr>
          <w:rFonts w:ascii="Times New Roman" w:eastAsiaTheme="minorHAnsi" w:hAnsi="Times New Roman" w:cs="Times New Roman"/>
          <w:color w:val="auto"/>
          <w:sz w:val="26"/>
          <w:szCs w:val="26"/>
          <w:lang w:val="en-US" w:eastAsia="en-US" w:bidi="ar-SA"/>
        </w:rPr>
        <w:t>II</w:t>
      </w:r>
      <w:r w:rsidRPr="00AC541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класса опасности –</w:t>
      </w:r>
      <w:r w:rsidR="00C03A24" w:rsidRPr="00AC541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388</w:t>
      </w:r>
      <w:r w:rsidRPr="00AC541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, </w:t>
      </w:r>
      <w:r w:rsidRPr="00AC5411">
        <w:rPr>
          <w:rFonts w:ascii="Times New Roman" w:eastAsiaTheme="minorHAnsi" w:hAnsi="Times New Roman" w:cs="Times New Roman"/>
          <w:color w:val="auto"/>
          <w:sz w:val="26"/>
          <w:szCs w:val="26"/>
          <w:lang w:val="en-US" w:eastAsia="en-US" w:bidi="ar-SA"/>
        </w:rPr>
        <w:t>III</w:t>
      </w:r>
      <w:r w:rsidRPr="00AC541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класса опасности – </w:t>
      </w:r>
      <w:r w:rsidR="00C03A24" w:rsidRPr="00AC541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328</w:t>
      </w:r>
      <w:r w:rsidRPr="00AC541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, </w:t>
      </w:r>
      <w:r w:rsidRPr="00AC5411">
        <w:rPr>
          <w:rFonts w:ascii="Times New Roman" w:eastAsiaTheme="minorHAnsi" w:hAnsi="Times New Roman" w:cs="Times New Roman"/>
          <w:color w:val="auto"/>
          <w:sz w:val="26"/>
          <w:szCs w:val="26"/>
          <w:lang w:val="en-US" w:eastAsia="en-US" w:bidi="ar-SA"/>
        </w:rPr>
        <w:t>IV</w:t>
      </w:r>
      <w:r w:rsidRPr="00AC541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класса опасности – 336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proofErr w:type="gramEnd"/>
    </w:p>
    <w:p w:rsidR="00C03A24" w:rsidRDefault="00C03A24" w:rsidP="00C03A24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5419 опасных производственных объектов газор</w:t>
      </w:r>
      <w:r w:rsidR="00AC541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аспределения и газопотребления по Ставропольскому краю: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proofErr w:type="gramStart"/>
      <w:r w:rsidR="008D5AEB" w:rsidRPr="00AC5411">
        <w:rPr>
          <w:rFonts w:ascii="Times New Roman" w:eastAsiaTheme="minorHAnsi" w:hAnsi="Times New Roman" w:cs="Times New Roman"/>
          <w:color w:val="auto"/>
          <w:sz w:val="26"/>
          <w:szCs w:val="26"/>
          <w:lang w:val="en-US" w:eastAsia="en-US" w:bidi="ar-SA"/>
        </w:rPr>
        <w:t>I</w:t>
      </w:r>
      <w:r w:rsidR="008D5AEB" w:rsidRPr="00AC541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класса опасности</w:t>
      </w:r>
      <w:r w:rsidR="008D5AE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– 0;</w:t>
      </w:r>
      <w:r w:rsidR="008D5AEB" w:rsidRPr="008D5AE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D5AEB" w:rsidRPr="00AC5411">
        <w:rPr>
          <w:rFonts w:ascii="Times New Roman" w:eastAsiaTheme="minorHAnsi" w:hAnsi="Times New Roman" w:cs="Times New Roman"/>
          <w:color w:val="auto"/>
          <w:sz w:val="26"/>
          <w:szCs w:val="26"/>
          <w:lang w:val="en-US" w:eastAsia="en-US" w:bidi="ar-SA"/>
        </w:rPr>
        <w:t>II</w:t>
      </w:r>
      <w:r w:rsidR="008D5AEB" w:rsidRPr="00AC541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класса опасности –</w:t>
      </w:r>
      <w:r w:rsidR="008D5AE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701;</w:t>
      </w:r>
      <w:r w:rsidR="008D5AEB" w:rsidRPr="008D5AE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D5AEB" w:rsidRPr="00AC5411">
        <w:rPr>
          <w:rFonts w:ascii="Times New Roman" w:eastAsiaTheme="minorHAnsi" w:hAnsi="Times New Roman" w:cs="Times New Roman"/>
          <w:color w:val="auto"/>
          <w:sz w:val="26"/>
          <w:szCs w:val="26"/>
          <w:lang w:val="en-US" w:eastAsia="en-US" w:bidi="ar-SA"/>
        </w:rPr>
        <w:t>III</w:t>
      </w:r>
      <w:r w:rsidR="008D5AEB" w:rsidRPr="00AC541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класса опасности –</w:t>
      </w:r>
      <w:r w:rsidR="008D5AE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1655;</w:t>
      </w:r>
      <w:r w:rsidR="008D5AEB" w:rsidRPr="008D5AE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D5AEB" w:rsidRPr="00AC5411">
        <w:rPr>
          <w:rFonts w:ascii="Times New Roman" w:eastAsiaTheme="minorHAnsi" w:hAnsi="Times New Roman" w:cs="Times New Roman"/>
          <w:color w:val="auto"/>
          <w:sz w:val="26"/>
          <w:szCs w:val="26"/>
          <w:lang w:val="en-US" w:eastAsia="en-US" w:bidi="ar-SA"/>
        </w:rPr>
        <w:t>IV</w:t>
      </w:r>
      <w:r w:rsidR="008D5AEB" w:rsidRPr="00AC541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класса опасности</w:t>
      </w:r>
      <w:r w:rsidR="008D5AE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– 0.</w:t>
      </w:r>
      <w:proofErr w:type="gramEnd"/>
    </w:p>
    <w:p w:rsidR="00C8606D" w:rsidRDefault="00C8606D" w:rsidP="00C8606D">
      <w:pPr>
        <w:widowControl/>
        <w:ind w:firstLine="708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C8606D" w:rsidRPr="00C8606D" w:rsidRDefault="00C8606D" w:rsidP="00C8606D">
      <w:pPr>
        <w:widowControl/>
        <w:ind w:firstLine="708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 w:rsidRPr="00C8606D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Потенциально опасные факторы оказывающие влияние на 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о</w:t>
      </w:r>
      <w:r w:rsidRPr="00C8606D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бъекты нефтегазового комплекса</w:t>
      </w:r>
    </w:p>
    <w:p w:rsidR="0097365F" w:rsidRDefault="0097365F" w:rsidP="0097365F">
      <w:pPr>
        <w:widowControl/>
        <w:ind w:firstLine="708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97365F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К наиболее значимым рискам относятся:</w:t>
      </w:r>
    </w:p>
    <w:p w:rsidR="0097365F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возможность возникновения на поднадзорных опасных производственных объектах нефтегазового комплекса несчастных случаев со смертельных исходом;</w:t>
      </w:r>
      <w:proofErr w:type="gramEnd"/>
    </w:p>
    <w:p w:rsidR="0097365F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возможность возникновения аварийных ситуаций на поднадзорных опасных производственных объектах нефтегазового комплекса.</w:t>
      </w:r>
    </w:p>
    <w:p w:rsidR="0097365F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Техническое расследование причин аварий показывает, что основными причинами возникновения аварий являются:</w:t>
      </w:r>
    </w:p>
    <w:p w:rsidR="0097365F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несоблюдение требований технических документов по организации и безопасному проведению газоопасных и ремонтных работ на объектах;</w:t>
      </w:r>
    </w:p>
    <w:p w:rsidR="0097365F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неудовлетворительная организация и осуществление производственного </w:t>
      </w: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контроля за</w:t>
      </w:r>
      <w:proofErr w:type="gram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соблюдением требований промышленной безопасности;</w:t>
      </w:r>
    </w:p>
    <w:p w:rsidR="0097365F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нарушение эксплуатирующими организациями норм и правил в области промышленной безопасности, несоблюдение обслуживающим персоналом производственных и должностных инструкций по охране труба и промышленной безопасности.</w:t>
      </w:r>
    </w:p>
    <w:p w:rsidR="0097365F" w:rsidRDefault="0097365F" w:rsidP="0097365F">
      <w:pPr>
        <w:widowControl/>
        <w:ind w:firstLine="708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C8606D" w:rsidRPr="00C8606D" w:rsidRDefault="0097365F" w:rsidP="00C8606D">
      <w:pPr>
        <w:widowControl/>
        <w:ind w:firstLine="708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Текущие и ожидаемые тенденции, которые могут оказать воздействие на </w:t>
      </w:r>
      <w:r w:rsidR="00C8606D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безопасность о</w:t>
      </w:r>
      <w:r w:rsidR="00C8606D" w:rsidRPr="00C8606D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бъект</w:t>
      </w:r>
      <w:r w:rsidR="00C8606D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ов</w:t>
      </w:r>
      <w:r w:rsidR="00C8606D" w:rsidRPr="00C8606D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нефтегазового комплекса</w:t>
      </w:r>
    </w:p>
    <w:p w:rsidR="0097365F" w:rsidRDefault="0097365F" w:rsidP="0097365F">
      <w:pPr>
        <w:widowControl/>
        <w:ind w:firstLine="708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97365F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 качестве </w:t>
      </w: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текущих</w:t>
      </w:r>
      <w:proofErr w:type="gram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 ожидаемых можно отметить следующие тренды и тенденции:</w:t>
      </w:r>
    </w:p>
    <w:p w:rsidR="0097365F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снижение количества </w:t>
      </w: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эксплуатируемых</w:t>
      </w:r>
      <w:proofErr w:type="gram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ОПО с опасными уровнями безопасности;</w:t>
      </w:r>
    </w:p>
    <w:p w:rsidR="0097365F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консервация и ликвидация нерентабельных ОПО и производств;</w:t>
      </w:r>
    </w:p>
    <w:p w:rsidR="0097365F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снижение количества ОПО, эксплуатируемых без проведения экспертизы промышленной безопасности технических устройств, зданий и сооружений;</w:t>
      </w:r>
    </w:p>
    <w:p w:rsidR="0097365F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C8606D" w:rsidRPr="00C8606D" w:rsidRDefault="00C8606D" w:rsidP="00C8606D">
      <w:pPr>
        <w:widowControl/>
        <w:ind w:firstLine="708"/>
        <w:jc w:val="center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  <w:r w:rsidRPr="00C8606D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Профилактические мероприятия, направленные на защиту населения и территорий от чрезвычайных ситуаций</w:t>
      </w:r>
    </w:p>
    <w:p w:rsidR="0097365F" w:rsidRDefault="0097365F" w:rsidP="0097365F">
      <w:pPr>
        <w:widowControl/>
        <w:ind w:firstLine="708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C8606D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требованиями </w:t>
      </w:r>
      <w:r w:rsidR="00C8606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законодательства Российской Федерации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на официальном сайте Кавказского управления Ростехнадзора в сети «Интернет» размещены Перечни нормативных правовых актов, содержащих обязательные требования норм промышленной безопасности. </w:t>
      </w:r>
    </w:p>
    <w:p w:rsidR="0097365F" w:rsidRDefault="0097365F" w:rsidP="0097365F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Один раз в полугодие готовятся обзоры правоприменительной практики.</w:t>
      </w:r>
    </w:p>
    <w:p w:rsidR="0097365F" w:rsidRDefault="0097365F" w:rsidP="0097365F">
      <w:pPr>
        <w:widowControl/>
        <w:ind w:firstLine="708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7F1C8D" w:rsidRDefault="00E01608" w:rsidP="007F1C8D">
      <w:pPr>
        <w:pStyle w:val="1"/>
        <w:jc w:val="center"/>
        <w:rPr>
          <w:b/>
          <w:bCs/>
          <w:iCs/>
        </w:rPr>
      </w:pPr>
      <w:r>
        <w:rPr>
          <w:b/>
          <w:bCs/>
          <w:iCs/>
          <w:lang w:bidi="ru-RU"/>
        </w:rPr>
        <w:t>П</w:t>
      </w:r>
      <w:r w:rsidR="00476103">
        <w:rPr>
          <w:b/>
          <w:bCs/>
          <w:iCs/>
          <w:lang w:bidi="ru-RU"/>
        </w:rPr>
        <w:t>одъемны</w:t>
      </w:r>
      <w:r>
        <w:rPr>
          <w:b/>
          <w:bCs/>
          <w:iCs/>
          <w:lang w:bidi="ru-RU"/>
        </w:rPr>
        <w:t>е</w:t>
      </w:r>
      <w:r w:rsidR="00476103">
        <w:rPr>
          <w:b/>
          <w:bCs/>
          <w:iCs/>
          <w:lang w:bidi="ru-RU"/>
        </w:rPr>
        <w:t xml:space="preserve"> сооружени</w:t>
      </w:r>
      <w:r>
        <w:rPr>
          <w:b/>
          <w:bCs/>
          <w:iCs/>
          <w:lang w:bidi="ru-RU"/>
        </w:rPr>
        <w:t>я</w:t>
      </w:r>
    </w:p>
    <w:p w:rsidR="006F03D3" w:rsidRDefault="006F03D3" w:rsidP="006F03D3">
      <w:pPr>
        <w:pStyle w:val="1"/>
        <w:ind w:firstLine="709"/>
        <w:jc w:val="both"/>
        <w:rPr>
          <w:b/>
          <w:bCs/>
        </w:rPr>
      </w:pPr>
    </w:p>
    <w:p w:rsidR="007F1C8D" w:rsidRPr="007F1C8D" w:rsidRDefault="007F1C8D" w:rsidP="006F03D3">
      <w:pPr>
        <w:pStyle w:val="1"/>
        <w:ind w:firstLine="709"/>
        <w:jc w:val="both"/>
        <w:rPr>
          <w:bCs/>
        </w:rPr>
      </w:pPr>
      <w:r w:rsidRPr="007F1C8D">
        <w:rPr>
          <w:bCs/>
        </w:rPr>
        <w:t>Количество подъемных сооружений составляет 3 399 единиц, из них:</w:t>
      </w:r>
    </w:p>
    <w:p w:rsidR="007F1C8D" w:rsidRPr="007F1C8D" w:rsidRDefault="007F1C8D" w:rsidP="006F03D3">
      <w:pPr>
        <w:pStyle w:val="1"/>
        <w:ind w:firstLine="0"/>
        <w:jc w:val="both"/>
        <w:rPr>
          <w:bCs/>
        </w:rPr>
      </w:pPr>
      <w:r w:rsidRPr="007F1C8D">
        <w:rPr>
          <w:bCs/>
        </w:rPr>
        <w:t>2 839 грузоподъемных кранов;</w:t>
      </w:r>
    </w:p>
    <w:p w:rsidR="007F1C8D" w:rsidRPr="007F1C8D" w:rsidRDefault="007F1C8D" w:rsidP="006F03D3">
      <w:pPr>
        <w:pStyle w:val="1"/>
        <w:ind w:firstLine="0"/>
        <w:jc w:val="both"/>
        <w:rPr>
          <w:bCs/>
        </w:rPr>
      </w:pPr>
      <w:r w:rsidRPr="007F1C8D">
        <w:rPr>
          <w:bCs/>
        </w:rPr>
        <w:t>626 подъемников-вышек;</w:t>
      </w:r>
    </w:p>
    <w:p w:rsidR="007F1C8D" w:rsidRPr="007F1C8D" w:rsidRDefault="007F1C8D" w:rsidP="006F03D3">
      <w:pPr>
        <w:pStyle w:val="1"/>
        <w:ind w:firstLine="0"/>
        <w:jc w:val="both"/>
        <w:rPr>
          <w:bCs/>
        </w:rPr>
      </w:pPr>
      <w:r w:rsidRPr="007F1C8D">
        <w:rPr>
          <w:bCs/>
        </w:rPr>
        <w:t>35 пассажирских канатных дорог;</w:t>
      </w:r>
    </w:p>
    <w:p w:rsidR="007F1C8D" w:rsidRPr="007F1C8D" w:rsidRDefault="007F1C8D" w:rsidP="006F03D3">
      <w:pPr>
        <w:pStyle w:val="1"/>
        <w:ind w:firstLine="0"/>
        <w:jc w:val="both"/>
        <w:rPr>
          <w:bCs/>
        </w:rPr>
      </w:pPr>
      <w:r w:rsidRPr="007F1C8D">
        <w:rPr>
          <w:bCs/>
        </w:rPr>
        <w:t>8 буксировочных канатных дорог;</w:t>
      </w:r>
    </w:p>
    <w:p w:rsidR="007F1C8D" w:rsidRDefault="007F1C8D" w:rsidP="006F03D3">
      <w:pPr>
        <w:pStyle w:val="1"/>
        <w:ind w:firstLine="0"/>
        <w:jc w:val="both"/>
        <w:rPr>
          <w:bCs/>
        </w:rPr>
      </w:pPr>
      <w:r w:rsidRPr="007F1C8D">
        <w:rPr>
          <w:bCs/>
        </w:rPr>
        <w:t>74 строительных подъемников.</w:t>
      </w:r>
    </w:p>
    <w:p w:rsidR="007F1C8D" w:rsidRPr="007F1C8D" w:rsidRDefault="007F1C8D" w:rsidP="007F1C8D">
      <w:pPr>
        <w:pStyle w:val="1"/>
        <w:jc w:val="both"/>
        <w:rPr>
          <w:bCs/>
        </w:rPr>
      </w:pPr>
    </w:p>
    <w:p w:rsidR="007F1C8D" w:rsidRDefault="00E01608" w:rsidP="007F1C8D">
      <w:pPr>
        <w:pStyle w:val="1"/>
        <w:ind w:firstLine="0"/>
        <w:jc w:val="center"/>
        <w:rPr>
          <w:b/>
          <w:bCs/>
        </w:rPr>
      </w:pPr>
      <w:r w:rsidRPr="00E01608">
        <w:rPr>
          <w:b/>
          <w:bCs/>
        </w:rPr>
        <w:t>Потенциально опасные факторы оказывающие влияние на</w:t>
      </w:r>
      <w:r w:rsidRPr="00E01608">
        <w:rPr>
          <w:b/>
          <w:bCs/>
          <w:lang w:bidi="ru-RU"/>
        </w:rPr>
        <w:t xml:space="preserve"> </w:t>
      </w:r>
      <w:r>
        <w:rPr>
          <w:b/>
          <w:bCs/>
          <w:lang w:bidi="ru-RU"/>
        </w:rPr>
        <w:t>безопасность подъемных сооружений</w:t>
      </w:r>
    </w:p>
    <w:p w:rsidR="00E01608" w:rsidRPr="007F1C8D" w:rsidRDefault="00E01608" w:rsidP="007F1C8D">
      <w:pPr>
        <w:pStyle w:val="1"/>
        <w:ind w:firstLine="0"/>
        <w:jc w:val="center"/>
        <w:rPr>
          <w:b/>
          <w:bCs/>
        </w:rPr>
      </w:pPr>
    </w:p>
    <w:p w:rsidR="007F1C8D" w:rsidRPr="007F1C8D" w:rsidRDefault="007F1C8D" w:rsidP="007F1C8D">
      <w:pPr>
        <w:pStyle w:val="1"/>
        <w:ind w:firstLine="0"/>
        <w:jc w:val="both"/>
        <w:rPr>
          <w:bCs/>
        </w:rPr>
      </w:pPr>
      <w:r>
        <w:rPr>
          <w:bCs/>
        </w:rPr>
        <w:tab/>
      </w:r>
      <w:r w:rsidRPr="007F1C8D">
        <w:rPr>
          <w:bCs/>
        </w:rPr>
        <w:t>Количество ОПО в составе, которых эксплуатируются ПС (грузоподъемные к</w:t>
      </w:r>
      <w:r>
        <w:rPr>
          <w:bCs/>
        </w:rPr>
        <w:t>раны, автоподъемники) уходят из</w:t>
      </w:r>
      <w:r w:rsidRPr="007F1C8D">
        <w:rPr>
          <w:bCs/>
        </w:rPr>
        <w:t xml:space="preserve">-под </w:t>
      </w:r>
      <w:proofErr w:type="gramStart"/>
      <w:r w:rsidRPr="007F1C8D">
        <w:rPr>
          <w:bCs/>
        </w:rPr>
        <w:t>государственного</w:t>
      </w:r>
      <w:proofErr w:type="gramEnd"/>
      <w:r w:rsidRPr="007F1C8D">
        <w:rPr>
          <w:bCs/>
        </w:rPr>
        <w:t xml:space="preserve"> надзора в связи с тем, что приобретаются, переоформляются на физических лиц. Как правило, это ПС неисправные, морально и физически устаревшие, управляются необученным персоналом – являются потенциальным источником опасности.</w:t>
      </w:r>
    </w:p>
    <w:p w:rsidR="007F1C8D" w:rsidRPr="007F1C8D" w:rsidRDefault="007F1C8D" w:rsidP="007F1C8D">
      <w:pPr>
        <w:pStyle w:val="1"/>
        <w:ind w:firstLine="0"/>
        <w:jc w:val="both"/>
        <w:rPr>
          <w:bCs/>
        </w:rPr>
      </w:pPr>
      <w:r>
        <w:rPr>
          <w:bCs/>
        </w:rPr>
        <w:tab/>
      </w:r>
      <w:proofErr w:type="gramStart"/>
      <w:r w:rsidRPr="007F1C8D">
        <w:rPr>
          <w:bCs/>
        </w:rPr>
        <w:t xml:space="preserve">Общий износ лифтов, отработавших назначенный срок службы, а также исключение лифтов из категории ОПО (с 15.03.2013) и отсутствие на данный момент федерального органа исполнительной власти, уполномоченного на осуществление контроля (надзора) за соблюдением требований Правил организации безопасного использования и содержания лифтов, подъемных </w:t>
      </w:r>
      <w:r w:rsidRPr="007F1C8D">
        <w:rPr>
          <w:bCs/>
        </w:rPr>
        <w:lastRenderedPageBreak/>
        <w:t>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постановлением Правительства Российской</w:t>
      </w:r>
      <w:proofErr w:type="gramEnd"/>
      <w:r w:rsidRPr="007F1C8D">
        <w:rPr>
          <w:bCs/>
        </w:rPr>
        <w:t xml:space="preserve"> Федерации от 24.06.2047 № 743, исключает возможность проверки соблюдения требований, соблюдение которых напрямую сказывается на уровне безопасности при эксплуатации опасных объектов.</w:t>
      </w:r>
    </w:p>
    <w:p w:rsidR="007F1C8D" w:rsidRDefault="007F1C8D" w:rsidP="007F1C8D">
      <w:pPr>
        <w:pStyle w:val="1"/>
        <w:ind w:firstLine="0"/>
        <w:jc w:val="center"/>
        <w:rPr>
          <w:bCs/>
        </w:rPr>
      </w:pPr>
    </w:p>
    <w:p w:rsidR="00CD7F7C" w:rsidRPr="00CD7F7C" w:rsidRDefault="007F1C8D" w:rsidP="00CD7F7C">
      <w:pPr>
        <w:pStyle w:val="1"/>
        <w:ind w:firstLine="0"/>
        <w:jc w:val="center"/>
        <w:rPr>
          <w:b/>
          <w:bCs/>
        </w:rPr>
      </w:pPr>
      <w:r w:rsidRPr="007F1C8D">
        <w:rPr>
          <w:b/>
          <w:bCs/>
        </w:rPr>
        <w:t xml:space="preserve">Текущие и ожидаемые тенденции, которые могут оказать воздействие на </w:t>
      </w:r>
      <w:r w:rsidR="00CD7F7C" w:rsidRPr="00CD7F7C">
        <w:rPr>
          <w:b/>
          <w:bCs/>
          <w:lang w:bidi="ru-RU"/>
        </w:rPr>
        <w:t>безопасность подъемных сооружений</w:t>
      </w:r>
    </w:p>
    <w:p w:rsidR="007F1C8D" w:rsidRPr="007F1C8D" w:rsidRDefault="007F1C8D" w:rsidP="007F1C8D">
      <w:pPr>
        <w:pStyle w:val="1"/>
        <w:jc w:val="center"/>
        <w:rPr>
          <w:bCs/>
        </w:rPr>
      </w:pPr>
    </w:p>
    <w:p w:rsidR="007F1C8D" w:rsidRPr="007F1C8D" w:rsidRDefault="007F1C8D" w:rsidP="007F1C8D">
      <w:pPr>
        <w:pStyle w:val="1"/>
        <w:ind w:firstLine="0"/>
        <w:jc w:val="both"/>
        <w:rPr>
          <w:bCs/>
        </w:rPr>
      </w:pPr>
      <w:r>
        <w:rPr>
          <w:bCs/>
        </w:rPr>
        <w:tab/>
      </w:r>
      <w:r w:rsidRPr="007F1C8D">
        <w:rPr>
          <w:bCs/>
        </w:rPr>
        <w:t>В качестве текущих и ожидаемых тенденций можно отметить:</w:t>
      </w:r>
    </w:p>
    <w:p w:rsidR="007F1C8D" w:rsidRPr="007F1C8D" w:rsidRDefault="007F1C8D" w:rsidP="007F1C8D">
      <w:pPr>
        <w:pStyle w:val="1"/>
        <w:ind w:firstLine="0"/>
        <w:jc w:val="both"/>
        <w:rPr>
          <w:bCs/>
        </w:rPr>
      </w:pPr>
      <w:r>
        <w:rPr>
          <w:bCs/>
        </w:rPr>
        <w:tab/>
      </w:r>
      <w:r w:rsidRPr="007F1C8D">
        <w:rPr>
          <w:bCs/>
        </w:rPr>
        <w:t>замедление темпа роста числа поднадзорных технических устройств, отработавших нормативный срок службы (ввод в эксплуатацию нового оборудования);</w:t>
      </w:r>
    </w:p>
    <w:p w:rsidR="007F1C8D" w:rsidRDefault="007F1C8D" w:rsidP="007F1C8D">
      <w:pPr>
        <w:pStyle w:val="1"/>
        <w:ind w:firstLine="0"/>
        <w:jc w:val="both"/>
        <w:rPr>
          <w:bCs/>
        </w:rPr>
      </w:pPr>
      <w:r>
        <w:rPr>
          <w:bCs/>
        </w:rPr>
        <w:tab/>
      </w:r>
      <w:r w:rsidRPr="007F1C8D">
        <w:rPr>
          <w:bCs/>
        </w:rPr>
        <w:t>ухудшение дисциплины обслуживающего персонала, руководителей и специалистов предприятий (организаций), осуществляющих эксплуатацию, ремонт, освидетельствование, диагностирование оборудования.</w:t>
      </w:r>
    </w:p>
    <w:p w:rsidR="007F1C8D" w:rsidRPr="007F1C8D" w:rsidRDefault="007F1C8D" w:rsidP="007F1C8D">
      <w:pPr>
        <w:pStyle w:val="1"/>
        <w:ind w:firstLine="0"/>
        <w:jc w:val="both"/>
        <w:rPr>
          <w:bCs/>
        </w:rPr>
      </w:pPr>
    </w:p>
    <w:p w:rsidR="00CD7F7C" w:rsidRPr="00CD7F7C" w:rsidRDefault="00CD7F7C" w:rsidP="00CD7F7C">
      <w:pPr>
        <w:pStyle w:val="1"/>
        <w:jc w:val="center"/>
        <w:rPr>
          <w:b/>
          <w:bCs/>
          <w:lang w:bidi="ru-RU"/>
        </w:rPr>
      </w:pPr>
      <w:r w:rsidRPr="00CD7F7C">
        <w:rPr>
          <w:b/>
          <w:bCs/>
          <w:lang w:bidi="ru-RU"/>
        </w:rPr>
        <w:t>Профилактические мероприятия, направленные на защиту населения и территорий от чрезвычайных ситуаций</w:t>
      </w:r>
    </w:p>
    <w:p w:rsidR="007F1C8D" w:rsidRPr="007F1C8D" w:rsidRDefault="007F1C8D" w:rsidP="007F1C8D">
      <w:pPr>
        <w:pStyle w:val="1"/>
        <w:jc w:val="center"/>
        <w:rPr>
          <w:bCs/>
        </w:rPr>
      </w:pPr>
    </w:p>
    <w:p w:rsidR="007F1C8D" w:rsidRDefault="007F1C8D" w:rsidP="007F1C8D">
      <w:pPr>
        <w:pStyle w:val="1"/>
        <w:ind w:firstLine="0"/>
        <w:jc w:val="both"/>
        <w:rPr>
          <w:bCs/>
        </w:rPr>
      </w:pPr>
      <w:r>
        <w:rPr>
          <w:bCs/>
        </w:rPr>
        <w:tab/>
      </w:r>
      <w:r w:rsidRPr="007F1C8D">
        <w:rPr>
          <w:bCs/>
        </w:rPr>
        <w:t>В целях обеспечения информирования широкого круга лиц по отдельным вопросам надзора за оборудованием, работающим под избыточным давлением, и подъемными сооружениями на постоянной основе ведется рубрика официального сайта Ростехнадзора «Часто задаваемые вопросы». В соответствии с постановлением Правительства Российской Федерации от 13.05.2013 № 407, Ростехнадзор является уполномоченным органом Российской Федерации по обеспечению государственного контроля (надзора) за соблюдением требований технических регламентов Таможенного союза «О безопасности оборудования, работающего под избыточным давлением» (</w:t>
      </w:r>
      <w:proofErr w:type="gramStart"/>
      <w:r w:rsidRPr="007F1C8D">
        <w:rPr>
          <w:bCs/>
        </w:rPr>
        <w:t>ТР</w:t>
      </w:r>
      <w:proofErr w:type="gramEnd"/>
      <w:r w:rsidRPr="007F1C8D">
        <w:rPr>
          <w:bCs/>
        </w:rPr>
        <w:t xml:space="preserve"> ТС 032/2013) и «Безопасность лифтов» (ТР ТС 011/2011).</w:t>
      </w:r>
    </w:p>
    <w:p w:rsidR="007F1C8D" w:rsidRPr="007F1C8D" w:rsidRDefault="007F1C8D" w:rsidP="007F1C8D">
      <w:pPr>
        <w:pStyle w:val="1"/>
        <w:jc w:val="center"/>
        <w:rPr>
          <w:bCs/>
        </w:rPr>
      </w:pPr>
    </w:p>
    <w:p w:rsidR="003B2215" w:rsidRPr="003B2215" w:rsidRDefault="00CD7F7C" w:rsidP="003B2215">
      <w:pPr>
        <w:pStyle w:val="1"/>
        <w:jc w:val="center"/>
        <w:rPr>
          <w:b/>
          <w:bCs/>
        </w:rPr>
      </w:pPr>
      <w:r>
        <w:rPr>
          <w:b/>
          <w:bCs/>
        </w:rPr>
        <w:t>Г</w:t>
      </w:r>
      <w:r w:rsidR="003B2215" w:rsidRPr="003B2215">
        <w:rPr>
          <w:b/>
          <w:bCs/>
        </w:rPr>
        <w:t>идротехнически</w:t>
      </w:r>
      <w:r>
        <w:rPr>
          <w:b/>
          <w:bCs/>
        </w:rPr>
        <w:t>е</w:t>
      </w:r>
      <w:r w:rsidR="003B2215" w:rsidRPr="003B2215">
        <w:rPr>
          <w:b/>
          <w:bCs/>
        </w:rPr>
        <w:t xml:space="preserve"> сооружени</w:t>
      </w:r>
      <w:r>
        <w:rPr>
          <w:b/>
          <w:bCs/>
        </w:rPr>
        <w:t>я</w:t>
      </w:r>
      <w:r w:rsidR="003B2215" w:rsidRPr="003B2215">
        <w:rPr>
          <w:b/>
          <w:bCs/>
        </w:rPr>
        <w:t xml:space="preserve"> </w:t>
      </w:r>
    </w:p>
    <w:p w:rsidR="003B2215" w:rsidRPr="003B2215" w:rsidRDefault="003B2215" w:rsidP="003B2215">
      <w:pPr>
        <w:pStyle w:val="1"/>
        <w:rPr>
          <w:b/>
          <w:bCs/>
        </w:rPr>
      </w:pPr>
    </w:p>
    <w:p w:rsidR="003B2215" w:rsidRPr="003B2215" w:rsidRDefault="003B2215" w:rsidP="006F03D3">
      <w:pPr>
        <w:pStyle w:val="1"/>
        <w:ind w:firstLine="709"/>
        <w:jc w:val="both"/>
        <w:rPr>
          <w:bCs/>
        </w:rPr>
      </w:pPr>
      <w:r w:rsidRPr="003B2215">
        <w:rPr>
          <w:bCs/>
        </w:rPr>
        <w:t>Общее количество поднадзорных Кавказско</w:t>
      </w:r>
      <w:r w:rsidR="00CD7F7C">
        <w:rPr>
          <w:bCs/>
        </w:rPr>
        <w:t>му</w:t>
      </w:r>
      <w:r w:rsidRPr="003B2215">
        <w:rPr>
          <w:bCs/>
        </w:rPr>
        <w:t xml:space="preserve"> управлени</w:t>
      </w:r>
      <w:r w:rsidR="00CD7F7C">
        <w:rPr>
          <w:bCs/>
        </w:rPr>
        <w:t>ю</w:t>
      </w:r>
      <w:r w:rsidRPr="003B2215">
        <w:rPr>
          <w:bCs/>
        </w:rPr>
        <w:t xml:space="preserve"> Ростехнадзора  ГТС (комплексов ГТС), составляет 2917, из них:</w:t>
      </w:r>
    </w:p>
    <w:p w:rsidR="003B2215" w:rsidRPr="003B2215" w:rsidRDefault="003B2215" w:rsidP="006F03D3">
      <w:pPr>
        <w:pStyle w:val="1"/>
        <w:ind w:firstLine="709"/>
        <w:jc w:val="both"/>
        <w:rPr>
          <w:bCs/>
        </w:rPr>
      </w:pPr>
      <w:r w:rsidRPr="003B2215">
        <w:rPr>
          <w:bCs/>
        </w:rPr>
        <w:t>16 комплексов ГТС в промышленности;</w:t>
      </w:r>
    </w:p>
    <w:p w:rsidR="003B2215" w:rsidRPr="003B2215" w:rsidRDefault="003B2215" w:rsidP="006F03D3">
      <w:pPr>
        <w:pStyle w:val="1"/>
        <w:ind w:firstLine="709"/>
        <w:jc w:val="both"/>
        <w:rPr>
          <w:bCs/>
        </w:rPr>
      </w:pPr>
      <w:r w:rsidRPr="003B2215">
        <w:rPr>
          <w:bCs/>
        </w:rPr>
        <w:t>46 комплексов ГТС в энергетики;</w:t>
      </w:r>
    </w:p>
    <w:p w:rsidR="003B2215" w:rsidRPr="003B2215" w:rsidRDefault="003B2215" w:rsidP="006F03D3">
      <w:pPr>
        <w:pStyle w:val="1"/>
        <w:ind w:firstLine="709"/>
        <w:jc w:val="both"/>
        <w:rPr>
          <w:bCs/>
        </w:rPr>
      </w:pPr>
      <w:r w:rsidRPr="003B2215">
        <w:rPr>
          <w:bCs/>
        </w:rPr>
        <w:t>2855 ГТС водохозяйственного комплекса.</w:t>
      </w:r>
    </w:p>
    <w:p w:rsidR="003B2215" w:rsidRPr="003B2215" w:rsidRDefault="003B2215" w:rsidP="006F03D3">
      <w:pPr>
        <w:pStyle w:val="1"/>
        <w:ind w:firstLine="709"/>
        <w:jc w:val="both"/>
        <w:rPr>
          <w:bCs/>
        </w:rPr>
      </w:pPr>
      <w:r w:rsidRPr="003B2215">
        <w:rPr>
          <w:bCs/>
        </w:rPr>
        <w:t>ГТС по классам в соответствии  с постановлением  Правительства Российской Федерации от 2 ноября 2013 года №986 «О классификации гидротехнических сооружений» распределены следующим образом:</w:t>
      </w:r>
    </w:p>
    <w:p w:rsidR="003B2215" w:rsidRPr="003B2215" w:rsidRDefault="003B2215" w:rsidP="006F03D3">
      <w:pPr>
        <w:pStyle w:val="1"/>
        <w:ind w:firstLine="709"/>
        <w:jc w:val="both"/>
        <w:rPr>
          <w:bCs/>
        </w:rPr>
      </w:pPr>
      <w:proofErr w:type="gramStart"/>
      <w:r w:rsidRPr="003B2215">
        <w:rPr>
          <w:bCs/>
          <w:lang w:val="en-US"/>
        </w:rPr>
        <w:t>I</w:t>
      </w:r>
      <w:r w:rsidRPr="003B2215">
        <w:rPr>
          <w:bCs/>
        </w:rPr>
        <w:t xml:space="preserve">  класс</w:t>
      </w:r>
      <w:proofErr w:type="gramEnd"/>
      <w:r w:rsidRPr="003B2215">
        <w:rPr>
          <w:bCs/>
        </w:rPr>
        <w:t xml:space="preserve"> – 18 комплекса;</w:t>
      </w:r>
    </w:p>
    <w:p w:rsidR="003B2215" w:rsidRPr="003B2215" w:rsidRDefault="003B2215" w:rsidP="006F03D3">
      <w:pPr>
        <w:pStyle w:val="1"/>
        <w:ind w:firstLine="709"/>
        <w:jc w:val="both"/>
        <w:rPr>
          <w:bCs/>
        </w:rPr>
      </w:pPr>
      <w:r w:rsidRPr="003B2215">
        <w:rPr>
          <w:bCs/>
          <w:lang w:val="en-US"/>
        </w:rPr>
        <w:t>II</w:t>
      </w:r>
      <w:r w:rsidRPr="003B2215">
        <w:rPr>
          <w:bCs/>
        </w:rPr>
        <w:t xml:space="preserve"> класс – 21 комплексов;</w:t>
      </w:r>
    </w:p>
    <w:p w:rsidR="003B2215" w:rsidRPr="003B2215" w:rsidRDefault="003B2215" w:rsidP="006F03D3">
      <w:pPr>
        <w:pStyle w:val="1"/>
        <w:ind w:firstLine="709"/>
        <w:jc w:val="both"/>
        <w:rPr>
          <w:bCs/>
        </w:rPr>
      </w:pPr>
      <w:r w:rsidRPr="003B2215">
        <w:rPr>
          <w:bCs/>
          <w:lang w:val="en-US"/>
        </w:rPr>
        <w:t>III</w:t>
      </w:r>
      <w:r w:rsidRPr="003B2215">
        <w:rPr>
          <w:bCs/>
        </w:rPr>
        <w:t xml:space="preserve"> класс – 566 комплексов;</w:t>
      </w:r>
    </w:p>
    <w:p w:rsidR="003B2215" w:rsidRPr="003B2215" w:rsidRDefault="003B2215" w:rsidP="006F03D3">
      <w:pPr>
        <w:pStyle w:val="1"/>
        <w:ind w:firstLine="709"/>
        <w:jc w:val="both"/>
        <w:rPr>
          <w:bCs/>
        </w:rPr>
      </w:pPr>
      <w:proofErr w:type="gramStart"/>
      <w:r w:rsidRPr="003B2215">
        <w:rPr>
          <w:bCs/>
          <w:lang w:val="en-US"/>
        </w:rPr>
        <w:lastRenderedPageBreak/>
        <w:t>IV</w:t>
      </w:r>
      <w:r w:rsidRPr="003B2215">
        <w:rPr>
          <w:bCs/>
        </w:rPr>
        <w:t xml:space="preserve"> класс – 2312 комплексов.</w:t>
      </w:r>
      <w:proofErr w:type="gramEnd"/>
    </w:p>
    <w:p w:rsidR="003B2215" w:rsidRPr="003B2215" w:rsidRDefault="003B2215" w:rsidP="003B2215">
      <w:pPr>
        <w:pStyle w:val="1"/>
        <w:rPr>
          <w:b/>
          <w:bCs/>
        </w:rPr>
      </w:pPr>
    </w:p>
    <w:p w:rsidR="003B2215" w:rsidRDefault="00CD7F7C" w:rsidP="00CD7F7C">
      <w:pPr>
        <w:pStyle w:val="1"/>
        <w:jc w:val="center"/>
        <w:rPr>
          <w:b/>
          <w:bCs/>
          <w:lang w:bidi="ru-RU"/>
        </w:rPr>
      </w:pPr>
      <w:r w:rsidRPr="00CD7F7C">
        <w:rPr>
          <w:b/>
          <w:bCs/>
        </w:rPr>
        <w:t>Потенциально опасные факторы оказывающие влияние на</w:t>
      </w:r>
      <w:r w:rsidRPr="00CD7F7C">
        <w:rPr>
          <w:b/>
          <w:bCs/>
          <w:lang w:bidi="ru-RU"/>
        </w:rPr>
        <w:t xml:space="preserve"> безопасность</w:t>
      </w:r>
      <w:r>
        <w:rPr>
          <w:b/>
          <w:bCs/>
          <w:lang w:bidi="ru-RU"/>
        </w:rPr>
        <w:t xml:space="preserve"> гидротехнических сооружений</w:t>
      </w:r>
    </w:p>
    <w:p w:rsidR="00CD7F7C" w:rsidRPr="003B2215" w:rsidRDefault="00CD7F7C" w:rsidP="003B2215">
      <w:pPr>
        <w:pStyle w:val="1"/>
        <w:rPr>
          <w:b/>
          <w:bCs/>
        </w:rPr>
      </w:pPr>
    </w:p>
    <w:p w:rsidR="003B2215" w:rsidRDefault="003B2215" w:rsidP="003B2215">
      <w:pPr>
        <w:pStyle w:val="1"/>
        <w:jc w:val="both"/>
        <w:rPr>
          <w:bCs/>
        </w:rPr>
      </w:pPr>
      <w:r w:rsidRPr="003B2215">
        <w:rPr>
          <w:bCs/>
        </w:rPr>
        <w:tab/>
        <w:t>Наиболее значимый риск – причинение вреда жизни или здоровья граждан в результате аварии гидротехнического сооружения. Риск возникновения аварии зависит от класса ГТС. Допустимые значения вероятности аварий напорных ГТС согласно Своду прави</w:t>
      </w:r>
      <w:r>
        <w:rPr>
          <w:bCs/>
        </w:rPr>
        <w:t xml:space="preserve">л 56.1333.2012: </w:t>
      </w:r>
      <w:r w:rsidRPr="003B2215">
        <w:rPr>
          <w:bCs/>
        </w:rPr>
        <w:t xml:space="preserve">для </w:t>
      </w:r>
      <w:r w:rsidRPr="003B2215">
        <w:rPr>
          <w:bCs/>
          <w:lang w:val="en-US"/>
        </w:rPr>
        <w:t>I</w:t>
      </w:r>
      <w:r w:rsidRPr="003B2215">
        <w:rPr>
          <w:bCs/>
        </w:rPr>
        <w:t xml:space="preserve"> класса 5</w:t>
      </w:r>
      <w:r w:rsidRPr="003B2215">
        <w:rPr>
          <w:bCs/>
          <w:lang w:val="en-US"/>
        </w:rPr>
        <w:t>x</w:t>
      </w:r>
      <w:r w:rsidRPr="003B2215">
        <w:rPr>
          <w:bCs/>
        </w:rPr>
        <w:t>10</w:t>
      </w:r>
      <w:r w:rsidRPr="003B2215">
        <w:rPr>
          <w:bCs/>
          <w:vertAlign w:val="superscript"/>
        </w:rPr>
        <w:t>-5</w:t>
      </w:r>
      <w:r w:rsidRPr="003B2215">
        <w:rPr>
          <w:bCs/>
        </w:rPr>
        <w:t xml:space="preserve">, </w:t>
      </w:r>
      <w:r w:rsidRPr="003B2215">
        <w:rPr>
          <w:bCs/>
          <w:lang w:val="en-US"/>
        </w:rPr>
        <w:t>II</w:t>
      </w:r>
      <w:r w:rsidRPr="003B2215">
        <w:rPr>
          <w:bCs/>
        </w:rPr>
        <w:t xml:space="preserve"> класса 5х10</w:t>
      </w:r>
      <w:r w:rsidRPr="003B2215">
        <w:rPr>
          <w:bCs/>
          <w:vertAlign w:val="superscript"/>
        </w:rPr>
        <w:t>-4</w:t>
      </w:r>
      <w:r w:rsidRPr="003B2215">
        <w:rPr>
          <w:bCs/>
        </w:rPr>
        <w:t xml:space="preserve">, </w:t>
      </w:r>
      <w:r w:rsidRPr="003B2215">
        <w:rPr>
          <w:bCs/>
          <w:lang w:val="en-US"/>
        </w:rPr>
        <w:t>III</w:t>
      </w:r>
      <w:r w:rsidRPr="003B2215">
        <w:rPr>
          <w:bCs/>
        </w:rPr>
        <w:t xml:space="preserve"> класса 2,5х10</w:t>
      </w:r>
      <w:r w:rsidRPr="003B2215">
        <w:rPr>
          <w:bCs/>
          <w:vertAlign w:val="superscript"/>
        </w:rPr>
        <w:t>-3</w:t>
      </w:r>
      <w:r w:rsidRPr="003B2215">
        <w:rPr>
          <w:bCs/>
        </w:rPr>
        <w:t xml:space="preserve">, </w:t>
      </w:r>
      <w:r w:rsidRPr="003B2215">
        <w:rPr>
          <w:bCs/>
          <w:lang w:val="en-US"/>
        </w:rPr>
        <w:t>IV</w:t>
      </w:r>
      <w:r w:rsidRPr="003B2215">
        <w:rPr>
          <w:bCs/>
        </w:rPr>
        <w:t xml:space="preserve"> класса 5х10</w:t>
      </w:r>
      <w:r w:rsidRPr="003B2215">
        <w:rPr>
          <w:bCs/>
          <w:vertAlign w:val="superscript"/>
        </w:rPr>
        <w:t>-3</w:t>
      </w:r>
      <w:r w:rsidRPr="003B2215">
        <w:rPr>
          <w:bCs/>
        </w:rPr>
        <w:t xml:space="preserve">.                             </w:t>
      </w:r>
    </w:p>
    <w:p w:rsidR="003B2215" w:rsidRPr="003B2215" w:rsidRDefault="003B2215" w:rsidP="003B2215">
      <w:pPr>
        <w:pStyle w:val="1"/>
        <w:jc w:val="both"/>
        <w:rPr>
          <w:bCs/>
        </w:rPr>
      </w:pPr>
      <w:r>
        <w:rPr>
          <w:bCs/>
        </w:rPr>
        <w:tab/>
      </w:r>
      <w:r w:rsidRPr="003B2215">
        <w:rPr>
          <w:bCs/>
        </w:rPr>
        <w:t xml:space="preserve">В периоды паводков и половодья риск возникновения аварии ГТС резко возрастает, т.к. сооружения испытывают максимальное воздействие от водного потока. </w:t>
      </w:r>
    </w:p>
    <w:p w:rsidR="003B2215" w:rsidRPr="003B2215" w:rsidRDefault="003B2215" w:rsidP="003B2215">
      <w:pPr>
        <w:pStyle w:val="1"/>
        <w:rPr>
          <w:b/>
          <w:bCs/>
        </w:rPr>
      </w:pPr>
    </w:p>
    <w:p w:rsidR="003B2215" w:rsidRPr="003B2215" w:rsidRDefault="003B2215" w:rsidP="003B2215">
      <w:pPr>
        <w:pStyle w:val="1"/>
        <w:ind w:left="1068" w:firstLine="0"/>
        <w:jc w:val="center"/>
        <w:rPr>
          <w:b/>
          <w:bCs/>
        </w:rPr>
      </w:pPr>
      <w:r w:rsidRPr="003B2215">
        <w:rPr>
          <w:b/>
          <w:bCs/>
        </w:rPr>
        <w:t xml:space="preserve">Текущие и ожидаемые тенденции, которые могут оказать воздействие на </w:t>
      </w:r>
      <w:r w:rsidR="00CD7F7C">
        <w:rPr>
          <w:b/>
          <w:bCs/>
        </w:rPr>
        <w:t xml:space="preserve">безопасность </w:t>
      </w:r>
      <w:r w:rsidR="00CD7F7C" w:rsidRPr="00CD7F7C">
        <w:rPr>
          <w:b/>
          <w:bCs/>
          <w:lang w:bidi="ru-RU"/>
        </w:rPr>
        <w:t>гидротехнических сооружений</w:t>
      </w:r>
    </w:p>
    <w:p w:rsidR="003B2215" w:rsidRPr="003B2215" w:rsidRDefault="003B2215" w:rsidP="003B2215">
      <w:pPr>
        <w:pStyle w:val="1"/>
        <w:rPr>
          <w:b/>
          <w:bCs/>
        </w:rPr>
      </w:pPr>
    </w:p>
    <w:p w:rsidR="003B2215" w:rsidRPr="003B2215" w:rsidRDefault="003B2215" w:rsidP="003B2215">
      <w:pPr>
        <w:pStyle w:val="1"/>
        <w:jc w:val="both"/>
        <w:rPr>
          <w:bCs/>
        </w:rPr>
      </w:pPr>
      <w:r w:rsidRPr="003B2215">
        <w:rPr>
          <w:bCs/>
        </w:rPr>
        <w:tab/>
        <w:t>Уровень безопасности поднадзорных ГТС оценивается:</w:t>
      </w:r>
    </w:p>
    <w:p w:rsidR="003B2215" w:rsidRPr="003B2215" w:rsidRDefault="003B2215" w:rsidP="003B2215">
      <w:pPr>
        <w:pStyle w:val="1"/>
        <w:jc w:val="both"/>
        <w:rPr>
          <w:bCs/>
        </w:rPr>
      </w:pPr>
      <w:r w:rsidRPr="003B2215">
        <w:rPr>
          <w:bCs/>
        </w:rPr>
        <w:tab/>
        <w:t>«нормальный» уровень безопасности  имеют 17 ГТС;</w:t>
      </w:r>
    </w:p>
    <w:p w:rsidR="003B2215" w:rsidRPr="003B2215" w:rsidRDefault="003B2215" w:rsidP="003B2215">
      <w:pPr>
        <w:pStyle w:val="1"/>
        <w:jc w:val="both"/>
        <w:rPr>
          <w:bCs/>
        </w:rPr>
      </w:pPr>
      <w:r w:rsidRPr="003B2215">
        <w:rPr>
          <w:bCs/>
        </w:rPr>
        <w:tab/>
        <w:t>«пониженный» уровень безопасности имеют 59 ГТС;</w:t>
      </w:r>
    </w:p>
    <w:p w:rsidR="003B2215" w:rsidRPr="003B2215" w:rsidRDefault="003B2215" w:rsidP="003B2215">
      <w:pPr>
        <w:pStyle w:val="1"/>
        <w:jc w:val="both"/>
        <w:rPr>
          <w:bCs/>
        </w:rPr>
      </w:pPr>
      <w:r w:rsidRPr="003B2215">
        <w:rPr>
          <w:bCs/>
        </w:rPr>
        <w:tab/>
        <w:t>«неудовлетворительный» уровень безопасности  имеют 62 ГТС;</w:t>
      </w:r>
    </w:p>
    <w:p w:rsidR="003B2215" w:rsidRPr="003B2215" w:rsidRDefault="003B2215" w:rsidP="003B2215">
      <w:pPr>
        <w:pStyle w:val="1"/>
        <w:jc w:val="both"/>
        <w:rPr>
          <w:bCs/>
        </w:rPr>
      </w:pPr>
      <w:r w:rsidRPr="003B2215">
        <w:rPr>
          <w:bCs/>
        </w:rPr>
        <w:tab/>
      </w:r>
      <w:r w:rsidR="00CD7F7C" w:rsidRPr="003B2215">
        <w:rPr>
          <w:bCs/>
        </w:rPr>
        <w:t xml:space="preserve">ГТС </w:t>
      </w:r>
      <w:r w:rsidR="00CD7F7C">
        <w:rPr>
          <w:bCs/>
        </w:rPr>
        <w:t xml:space="preserve">имеющих </w:t>
      </w:r>
      <w:r w:rsidRPr="003B2215">
        <w:rPr>
          <w:bCs/>
        </w:rPr>
        <w:t xml:space="preserve">опасный уровень безопасности, характеризуемый потерей работоспособности и не </w:t>
      </w:r>
      <w:r w:rsidR="00CD7F7C">
        <w:rPr>
          <w:bCs/>
        </w:rPr>
        <w:t>подлежащих эксплуатации нет.</w:t>
      </w:r>
    </w:p>
    <w:p w:rsidR="003B2215" w:rsidRPr="003B2215" w:rsidRDefault="003B2215" w:rsidP="003B2215">
      <w:pPr>
        <w:pStyle w:val="1"/>
        <w:jc w:val="both"/>
        <w:rPr>
          <w:bCs/>
        </w:rPr>
      </w:pPr>
      <w:r w:rsidRPr="003B2215">
        <w:rPr>
          <w:bCs/>
        </w:rPr>
        <w:tab/>
        <w:t>На основании письма Федеральной службы по экологическому, технологическому и атомному надзору от 28.04.2016 № 00-07-06/473  1227 ГТС (СК-1188, КЧР-38, КБР-1) имеют опасный уровень безопасности.</w:t>
      </w:r>
    </w:p>
    <w:p w:rsidR="003B2215" w:rsidRPr="003B2215" w:rsidRDefault="003B2215" w:rsidP="003B2215">
      <w:pPr>
        <w:pStyle w:val="1"/>
        <w:jc w:val="both"/>
        <w:rPr>
          <w:bCs/>
        </w:rPr>
      </w:pPr>
      <w:r>
        <w:rPr>
          <w:bCs/>
        </w:rPr>
        <w:tab/>
      </w:r>
    </w:p>
    <w:p w:rsidR="003B2215" w:rsidRPr="003B2215" w:rsidRDefault="003B2215" w:rsidP="003B2215">
      <w:pPr>
        <w:pStyle w:val="1"/>
        <w:rPr>
          <w:b/>
          <w:bCs/>
        </w:rPr>
      </w:pPr>
    </w:p>
    <w:p w:rsidR="00CD7F7C" w:rsidRPr="00CD7F7C" w:rsidRDefault="00CD7F7C" w:rsidP="00CD7F7C">
      <w:pPr>
        <w:pStyle w:val="1"/>
        <w:jc w:val="center"/>
        <w:rPr>
          <w:b/>
          <w:bCs/>
          <w:lang w:bidi="ru-RU"/>
        </w:rPr>
      </w:pPr>
      <w:r w:rsidRPr="00CD7F7C">
        <w:rPr>
          <w:b/>
          <w:bCs/>
          <w:lang w:bidi="ru-RU"/>
        </w:rPr>
        <w:t>Профилактические мероприятия, направленные на защиту населения и территорий от чрезвычайных ситуаций</w:t>
      </w:r>
    </w:p>
    <w:p w:rsidR="003B2215" w:rsidRPr="003B2215" w:rsidRDefault="003B2215" w:rsidP="00CD7F7C">
      <w:pPr>
        <w:pStyle w:val="1"/>
        <w:jc w:val="center"/>
        <w:rPr>
          <w:b/>
          <w:bCs/>
        </w:rPr>
      </w:pPr>
    </w:p>
    <w:p w:rsidR="003B2215" w:rsidRPr="003B2215" w:rsidRDefault="003B2215" w:rsidP="003B2215">
      <w:pPr>
        <w:pStyle w:val="1"/>
        <w:jc w:val="both"/>
        <w:rPr>
          <w:bCs/>
        </w:rPr>
      </w:pPr>
      <w:r w:rsidRPr="003B2215">
        <w:rPr>
          <w:bCs/>
        </w:rPr>
        <w:tab/>
        <w:t xml:space="preserve">В соответствии  </w:t>
      </w:r>
      <w:r w:rsidR="001C1B13">
        <w:rPr>
          <w:bCs/>
        </w:rPr>
        <w:t>с требованиями законодательства Российской Федерации</w:t>
      </w:r>
      <w:r w:rsidRPr="003B2215">
        <w:rPr>
          <w:bCs/>
        </w:rPr>
        <w:t xml:space="preserve"> на официальном сайте Ростехнадзора в сети «Интернет» размещены Перечни нормативных правовых актов, содержащих обязательные требования. Один раз в полугодие готовятся обзоры правоприменительной практики.</w:t>
      </w:r>
    </w:p>
    <w:p w:rsidR="004A4361" w:rsidRDefault="004A4361" w:rsidP="004A4361">
      <w:pPr>
        <w:pStyle w:val="1"/>
        <w:jc w:val="center"/>
        <w:rPr>
          <w:b/>
          <w:bCs/>
        </w:rPr>
      </w:pPr>
      <w:bookmarkStart w:id="9" w:name="bookmark158"/>
      <w:bookmarkStart w:id="10" w:name="bookmark157"/>
      <w:bookmarkStart w:id="11" w:name="bookmark156"/>
      <w:r w:rsidRPr="004A4361">
        <w:rPr>
          <w:b/>
          <w:bCs/>
        </w:rPr>
        <w:br/>
      </w:r>
      <w:bookmarkEnd w:id="9"/>
      <w:bookmarkEnd w:id="10"/>
      <w:bookmarkEnd w:id="11"/>
      <w:r w:rsidR="001C1B13">
        <w:rPr>
          <w:b/>
          <w:bCs/>
        </w:rPr>
        <w:t>Объекты энергетики</w:t>
      </w:r>
    </w:p>
    <w:p w:rsidR="004A4361" w:rsidRPr="004A4361" w:rsidRDefault="004A4361" w:rsidP="004A4361">
      <w:pPr>
        <w:pStyle w:val="1"/>
        <w:jc w:val="center"/>
        <w:rPr>
          <w:b/>
          <w:bCs/>
          <w:color w:val="FF0000"/>
        </w:rPr>
      </w:pPr>
    </w:p>
    <w:p w:rsidR="004A4361" w:rsidRPr="004A4361" w:rsidRDefault="004A4361" w:rsidP="004A4361">
      <w:pPr>
        <w:pStyle w:val="1"/>
        <w:rPr>
          <w:bCs/>
        </w:rPr>
      </w:pPr>
      <w:r w:rsidRPr="004A4361">
        <w:rPr>
          <w:bCs/>
        </w:rPr>
        <w:t xml:space="preserve">Общее количество поднадзорных </w:t>
      </w:r>
      <w:r w:rsidR="001C1B13">
        <w:rPr>
          <w:bCs/>
        </w:rPr>
        <w:t>Кавказскому управлению Ростехнадзора</w:t>
      </w:r>
      <w:r w:rsidRPr="004A4361">
        <w:rPr>
          <w:bCs/>
        </w:rPr>
        <w:t xml:space="preserve"> составляет:</w:t>
      </w:r>
    </w:p>
    <w:p w:rsidR="001C1B13" w:rsidRPr="004A4361" w:rsidRDefault="001C1B13" w:rsidP="001C1B13">
      <w:pPr>
        <w:pStyle w:val="1"/>
        <w:rPr>
          <w:bCs/>
        </w:rPr>
      </w:pPr>
      <w:r w:rsidRPr="004A4361">
        <w:rPr>
          <w:bCs/>
        </w:rPr>
        <w:t>Тепловых электростанций</w:t>
      </w:r>
      <w:r>
        <w:rPr>
          <w:bCs/>
        </w:rPr>
        <w:t xml:space="preserve">                                                       -</w:t>
      </w:r>
      <w:r w:rsidRPr="004A4361">
        <w:rPr>
          <w:bCs/>
        </w:rPr>
        <w:t>962,9 тыс. ед.</w:t>
      </w:r>
    </w:p>
    <w:p w:rsidR="001C1B13" w:rsidRPr="004A4361" w:rsidRDefault="001C1B13" w:rsidP="001C1B13">
      <w:pPr>
        <w:pStyle w:val="1"/>
        <w:rPr>
          <w:bCs/>
        </w:rPr>
      </w:pPr>
      <w:r w:rsidRPr="004A4361">
        <w:rPr>
          <w:bCs/>
        </w:rPr>
        <w:t>Газотурбинных (</w:t>
      </w:r>
      <w:proofErr w:type="spellStart"/>
      <w:r w:rsidRPr="004A4361">
        <w:rPr>
          <w:bCs/>
        </w:rPr>
        <w:t>газопоршневых</w:t>
      </w:r>
      <w:proofErr w:type="spellEnd"/>
      <w:r w:rsidRPr="004A4361">
        <w:rPr>
          <w:bCs/>
        </w:rPr>
        <w:t>) электростанций</w:t>
      </w:r>
      <w:r>
        <w:rPr>
          <w:bCs/>
        </w:rPr>
        <w:t xml:space="preserve">               -4 ед.</w:t>
      </w:r>
    </w:p>
    <w:p w:rsidR="001C1B13" w:rsidRPr="004A4361" w:rsidRDefault="001C1B13" w:rsidP="001C1B13">
      <w:pPr>
        <w:pStyle w:val="1"/>
        <w:rPr>
          <w:bCs/>
        </w:rPr>
      </w:pPr>
      <w:r w:rsidRPr="004A4361">
        <w:rPr>
          <w:bCs/>
        </w:rPr>
        <w:t>Малых (технологических) электростанций</w:t>
      </w:r>
      <w:r>
        <w:rPr>
          <w:bCs/>
        </w:rPr>
        <w:t xml:space="preserve">                           -2 ед.</w:t>
      </w:r>
    </w:p>
    <w:p w:rsidR="001C1B13" w:rsidRPr="004A4361" w:rsidRDefault="001C1B13" w:rsidP="001C1B13">
      <w:pPr>
        <w:pStyle w:val="1"/>
        <w:rPr>
          <w:bCs/>
        </w:rPr>
      </w:pPr>
      <w:r w:rsidRPr="004A4361">
        <w:rPr>
          <w:bCs/>
        </w:rPr>
        <w:t>Гидроэлектростанций</w:t>
      </w:r>
      <w:r>
        <w:rPr>
          <w:bCs/>
        </w:rPr>
        <w:t xml:space="preserve">                                                              -258 ед.</w:t>
      </w:r>
    </w:p>
    <w:p w:rsidR="001C1B13" w:rsidRPr="004A4361" w:rsidRDefault="001C1B13" w:rsidP="001C1B13">
      <w:pPr>
        <w:pStyle w:val="1"/>
        <w:rPr>
          <w:bCs/>
        </w:rPr>
      </w:pPr>
      <w:r w:rsidRPr="004A4361">
        <w:rPr>
          <w:bCs/>
        </w:rPr>
        <w:t>Котельных всего,</w:t>
      </w:r>
      <w:r w:rsidRPr="001C1B13">
        <w:rPr>
          <w:bCs/>
        </w:rPr>
        <w:t xml:space="preserve"> </w:t>
      </w:r>
      <w:r>
        <w:rPr>
          <w:bCs/>
        </w:rPr>
        <w:t xml:space="preserve">                                                                     </w:t>
      </w:r>
      <w:r w:rsidRPr="004A4361">
        <w:rPr>
          <w:bCs/>
        </w:rPr>
        <w:t>-1402 ед.;</w:t>
      </w:r>
    </w:p>
    <w:p w:rsidR="001C1B13" w:rsidRDefault="001C1B13" w:rsidP="001C1B13">
      <w:pPr>
        <w:pStyle w:val="1"/>
        <w:rPr>
          <w:bCs/>
        </w:rPr>
      </w:pPr>
      <w:r w:rsidRPr="004A4361">
        <w:rPr>
          <w:bCs/>
        </w:rPr>
        <w:lastRenderedPageBreak/>
        <w:t>в том числе:</w:t>
      </w:r>
    </w:p>
    <w:p w:rsidR="001C1B13" w:rsidRPr="004A4361" w:rsidRDefault="001C1B13" w:rsidP="001C1B13">
      <w:pPr>
        <w:pStyle w:val="1"/>
        <w:rPr>
          <w:bCs/>
        </w:rPr>
      </w:pPr>
      <w:r w:rsidRPr="004A4361">
        <w:rPr>
          <w:bCs/>
        </w:rPr>
        <w:t>производственных</w:t>
      </w:r>
      <w:r>
        <w:rPr>
          <w:bCs/>
        </w:rPr>
        <w:t xml:space="preserve">                                                                    </w:t>
      </w:r>
      <w:r w:rsidRPr="004A4361">
        <w:rPr>
          <w:bCs/>
        </w:rPr>
        <w:t>- 129 ед.;</w:t>
      </w:r>
    </w:p>
    <w:p w:rsidR="001C1B13" w:rsidRPr="004A4361" w:rsidRDefault="001C1B13" w:rsidP="001C1B13">
      <w:pPr>
        <w:pStyle w:val="1"/>
        <w:rPr>
          <w:bCs/>
        </w:rPr>
      </w:pPr>
      <w:r>
        <w:rPr>
          <w:bCs/>
        </w:rPr>
        <w:t xml:space="preserve">отопительно-производственных                                             </w:t>
      </w:r>
      <w:r w:rsidRPr="004A4361">
        <w:rPr>
          <w:bCs/>
        </w:rPr>
        <w:t>-79 ед.;</w:t>
      </w:r>
    </w:p>
    <w:p w:rsidR="001C1B13" w:rsidRPr="004A4361" w:rsidRDefault="001C1B13" w:rsidP="001C1B13">
      <w:pPr>
        <w:pStyle w:val="1"/>
        <w:rPr>
          <w:b/>
          <w:bCs/>
          <w:color w:val="FF0000"/>
          <w:lang w:bidi="ru-RU"/>
        </w:rPr>
      </w:pPr>
      <w:r w:rsidRPr="004A4361">
        <w:rPr>
          <w:bCs/>
        </w:rPr>
        <w:t>отопительных</w:t>
      </w:r>
      <w:r>
        <w:rPr>
          <w:bCs/>
        </w:rPr>
        <w:t xml:space="preserve">                                                                           </w:t>
      </w:r>
      <w:r w:rsidRPr="004A4361">
        <w:rPr>
          <w:bCs/>
        </w:rPr>
        <w:t>-1194 ед.;</w:t>
      </w:r>
    </w:p>
    <w:p w:rsidR="001C1B13" w:rsidRPr="004A4361" w:rsidRDefault="001C1B13" w:rsidP="001C1B13">
      <w:pPr>
        <w:pStyle w:val="1"/>
        <w:rPr>
          <w:bCs/>
        </w:rPr>
      </w:pPr>
      <w:r>
        <w:rPr>
          <w:bCs/>
        </w:rPr>
        <w:t xml:space="preserve">                                                                                                    </w:t>
      </w:r>
    </w:p>
    <w:p w:rsidR="004A4361" w:rsidRPr="004A4361" w:rsidRDefault="004A4361" w:rsidP="004A4361">
      <w:pPr>
        <w:pStyle w:val="1"/>
        <w:rPr>
          <w:bCs/>
        </w:rPr>
      </w:pPr>
      <w:r w:rsidRPr="004A4361">
        <w:rPr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FD86D" wp14:editId="1DEED465">
                <wp:simplePos x="0" y="0"/>
                <wp:positionH relativeFrom="page">
                  <wp:posOffset>5448300</wp:posOffset>
                </wp:positionH>
                <wp:positionV relativeFrom="paragraph">
                  <wp:posOffset>11430</wp:posOffset>
                </wp:positionV>
                <wp:extent cx="1346200" cy="1447800"/>
                <wp:effectExtent l="0" t="0" r="0" b="0"/>
                <wp:wrapSquare wrapText="left"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144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27C2" w:rsidRPr="004A4361" w:rsidRDefault="00AE27C2" w:rsidP="004A436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t xml:space="preserve">- </w:t>
                            </w:r>
                            <w:r w:rsidRPr="004A436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18144 ед.;</w:t>
                            </w:r>
                          </w:p>
                          <w:p w:rsidR="00AE27C2" w:rsidRPr="004A4361" w:rsidRDefault="00AE27C2" w:rsidP="004A4361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48"/>
                              </w:tabs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12" w:name="bookmark20"/>
                            <w:bookmarkEnd w:id="12"/>
                            <w:r w:rsidRPr="004A436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3552 км;</w:t>
                            </w:r>
                          </w:p>
                          <w:p w:rsidR="00AE27C2" w:rsidRPr="004A4361" w:rsidRDefault="00AE27C2" w:rsidP="004A4361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23"/>
                              </w:tabs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13" w:name="bookmark21"/>
                            <w:bookmarkEnd w:id="13"/>
                            <w:r w:rsidRPr="004A436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78436. км;</w:t>
                            </w:r>
                          </w:p>
                          <w:p w:rsidR="00AE27C2" w:rsidRPr="004A4361" w:rsidRDefault="00AE27C2" w:rsidP="004A4361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23"/>
                              </w:tabs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14" w:name="bookmark22"/>
                            <w:bookmarkEnd w:id="14"/>
                            <w:r w:rsidRPr="004A436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33670км;</w:t>
                            </w:r>
                          </w:p>
                          <w:p w:rsidR="00AE27C2" w:rsidRPr="004A4361" w:rsidRDefault="00AE27C2" w:rsidP="004A4361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23"/>
                              </w:tabs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15" w:name="bookmark23"/>
                            <w:bookmarkEnd w:id="15"/>
                            <w:r w:rsidRPr="004A436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41590 км;</w:t>
                            </w:r>
                          </w:p>
                          <w:p w:rsidR="00AE27C2" w:rsidRPr="004A4361" w:rsidRDefault="00AE27C2" w:rsidP="004A436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A436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 3176 км.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429pt;margin-top:.9pt;width:106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" filled="f" stroked="f">
                <v:textbox inset="0,0,0,0">
                  <w:txbxContent>
                    <w:p w:rsidR="00AE27C2" w:rsidRPr="004A4361" w:rsidRDefault="00AE27C2" w:rsidP="004A436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t xml:space="preserve">- </w:t>
                      </w:r>
                      <w:r w:rsidRPr="004A436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18144 ед.;</w:t>
                      </w:r>
                    </w:p>
                    <w:p w:rsidR="00AE27C2" w:rsidRPr="004A4361" w:rsidRDefault="00AE27C2" w:rsidP="004A4361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48"/>
                        </w:tabs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bookmarkStart w:id="16" w:name="bookmark20"/>
                      <w:bookmarkEnd w:id="16"/>
                      <w:r w:rsidRPr="004A436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3552 км;</w:t>
                      </w:r>
                    </w:p>
                    <w:p w:rsidR="00AE27C2" w:rsidRPr="004A4361" w:rsidRDefault="00AE27C2" w:rsidP="004A4361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23"/>
                        </w:tabs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bookmarkStart w:id="17" w:name="bookmark21"/>
                      <w:bookmarkEnd w:id="17"/>
                      <w:r w:rsidRPr="004A436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78436. км;</w:t>
                      </w:r>
                    </w:p>
                    <w:p w:rsidR="00AE27C2" w:rsidRPr="004A4361" w:rsidRDefault="00AE27C2" w:rsidP="004A4361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23"/>
                        </w:tabs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bookmarkStart w:id="18" w:name="bookmark22"/>
                      <w:bookmarkEnd w:id="18"/>
                      <w:r w:rsidRPr="004A436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33670км;</w:t>
                      </w:r>
                    </w:p>
                    <w:p w:rsidR="00AE27C2" w:rsidRPr="004A4361" w:rsidRDefault="00AE27C2" w:rsidP="004A4361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23"/>
                        </w:tabs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bookmarkStart w:id="19" w:name="bookmark23"/>
                      <w:bookmarkEnd w:id="19"/>
                      <w:r w:rsidRPr="004A436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41590 км;</w:t>
                      </w:r>
                    </w:p>
                    <w:p w:rsidR="00AE27C2" w:rsidRPr="004A4361" w:rsidRDefault="00AE27C2" w:rsidP="004A436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A436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 3176 км.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A4361">
        <w:rPr>
          <w:bCs/>
        </w:rPr>
        <w:t>Электрических подстанций</w:t>
      </w:r>
    </w:p>
    <w:p w:rsidR="004A4361" w:rsidRPr="004A4361" w:rsidRDefault="004A4361" w:rsidP="004A4361">
      <w:pPr>
        <w:pStyle w:val="1"/>
        <w:rPr>
          <w:bCs/>
        </w:rPr>
      </w:pPr>
      <w:r w:rsidRPr="004A4361">
        <w:rPr>
          <w:bCs/>
        </w:rPr>
        <w:t>Тепловые сети (в двухтрубном исчислении),</w:t>
      </w:r>
    </w:p>
    <w:p w:rsidR="004A4361" w:rsidRPr="004A4361" w:rsidRDefault="004A4361" w:rsidP="004A4361">
      <w:pPr>
        <w:pStyle w:val="1"/>
        <w:rPr>
          <w:bCs/>
        </w:rPr>
      </w:pPr>
      <w:r w:rsidRPr="004A4361">
        <w:rPr>
          <w:bCs/>
        </w:rPr>
        <w:t>Линии электропередачи всего, в том числе:</w:t>
      </w:r>
    </w:p>
    <w:p w:rsidR="004A4361" w:rsidRPr="004A4361" w:rsidRDefault="004A4361" w:rsidP="004A4361">
      <w:pPr>
        <w:pStyle w:val="1"/>
        <w:rPr>
          <w:bCs/>
        </w:rPr>
      </w:pPr>
      <w:r w:rsidRPr="004A4361">
        <w:rPr>
          <w:bCs/>
        </w:rPr>
        <w:t xml:space="preserve">напряжением до 1 </w:t>
      </w:r>
      <w:proofErr w:type="spellStart"/>
      <w:r w:rsidRPr="004A4361">
        <w:rPr>
          <w:bCs/>
        </w:rPr>
        <w:t>кВ</w:t>
      </w:r>
      <w:proofErr w:type="spellEnd"/>
    </w:p>
    <w:p w:rsidR="004A4361" w:rsidRPr="004A4361" w:rsidRDefault="004A4361" w:rsidP="004A4361">
      <w:pPr>
        <w:pStyle w:val="1"/>
        <w:rPr>
          <w:bCs/>
        </w:rPr>
      </w:pPr>
      <w:r w:rsidRPr="004A4361">
        <w:rPr>
          <w:bCs/>
        </w:rPr>
        <w:t xml:space="preserve">напряжением от 1 </w:t>
      </w:r>
      <w:proofErr w:type="spellStart"/>
      <w:r w:rsidRPr="004A4361">
        <w:rPr>
          <w:bCs/>
        </w:rPr>
        <w:t>кВ</w:t>
      </w:r>
      <w:proofErr w:type="spellEnd"/>
      <w:r w:rsidRPr="004A4361">
        <w:rPr>
          <w:bCs/>
        </w:rPr>
        <w:t xml:space="preserve"> до 110 </w:t>
      </w:r>
      <w:proofErr w:type="spellStart"/>
      <w:r w:rsidRPr="004A4361">
        <w:rPr>
          <w:bCs/>
        </w:rPr>
        <w:t>кВ</w:t>
      </w:r>
      <w:proofErr w:type="spellEnd"/>
    </w:p>
    <w:p w:rsidR="004A4361" w:rsidRPr="004A4361" w:rsidRDefault="004A4361" w:rsidP="004A4361">
      <w:pPr>
        <w:pStyle w:val="1"/>
        <w:rPr>
          <w:bCs/>
        </w:rPr>
      </w:pPr>
      <w:r w:rsidRPr="004A4361">
        <w:rPr>
          <w:bCs/>
        </w:rPr>
        <w:t xml:space="preserve">напряжением 330 </w:t>
      </w:r>
      <w:proofErr w:type="spellStart"/>
      <w:r w:rsidRPr="004A4361">
        <w:rPr>
          <w:bCs/>
        </w:rPr>
        <w:t>кВ</w:t>
      </w:r>
      <w:proofErr w:type="spellEnd"/>
      <w:r w:rsidRPr="004A4361">
        <w:rPr>
          <w:bCs/>
        </w:rPr>
        <w:t xml:space="preserve"> и выше</w:t>
      </w:r>
    </w:p>
    <w:p w:rsidR="004A4361" w:rsidRPr="004A4361" w:rsidRDefault="004A4361" w:rsidP="004A4361">
      <w:pPr>
        <w:pStyle w:val="1"/>
        <w:rPr>
          <w:bCs/>
          <w:color w:val="FF0000"/>
        </w:rPr>
      </w:pPr>
    </w:p>
    <w:p w:rsidR="004A4361" w:rsidRPr="00BC50F2" w:rsidRDefault="004A4361" w:rsidP="004A4361">
      <w:pPr>
        <w:tabs>
          <w:tab w:val="left" w:pos="9072"/>
        </w:tabs>
        <w:ind w:firstLine="709"/>
        <w:jc w:val="center"/>
        <w:rPr>
          <w:rFonts w:ascii="Times New Roman" w:hAnsi="Times New Roman" w:cs="Times New Roman"/>
          <w:b/>
          <w:sz w:val="6"/>
          <w:szCs w:val="26"/>
        </w:rPr>
      </w:pPr>
      <w:bookmarkStart w:id="16" w:name="bookmark160"/>
      <w:bookmarkEnd w:id="16"/>
    </w:p>
    <w:p w:rsidR="004A4361" w:rsidRDefault="001C1B13" w:rsidP="004A4361">
      <w:pPr>
        <w:tabs>
          <w:tab w:val="left" w:pos="9072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1B13">
        <w:rPr>
          <w:rFonts w:ascii="Times New Roman" w:hAnsi="Times New Roman" w:cs="Times New Roman"/>
          <w:b/>
          <w:bCs/>
          <w:sz w:val="26"/>
          <w:szCs w:val="26"/>
        </w:rPr>
        <w:t>Потенциально опасные факторы оказывающие влияние на безопасность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объектов энергетики</w:t>
      </w:r>
    </w:p>
    <w:p w:rsidR="001C1B13" w:rsidRPr="004A4361" w:rsidRDefault="001C1B13" w:rsidP="004A4361">
      <w:pPr>
        <w:tabs>
          <w:tab w:val="left" w:pos="9072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4361" w:rsidRDefault="004A4361" w:rsidP="004A4361">
      <w:pPr>
        <w:pStyle w:val="1"/>
        <w:ind w:firstLine="709"/>
        <w:jc w:val="both"/>
        <w:rPr>
          <w:bCs/>
          <w:color w:val="FF0000"/>
        </w:rPr>
      </w:pPr>
      <w:r w:rsidRPr="004A4361">
        <w:rPr>
          <w:bCs/>
        </w:rPr>
        <w:t xml:space="preserve">Наиболее значимые риски - причинение вреда жизни или здоровью граждан в результате аварий на объектах электроэнергетики. Наибольшее количество несчастных случаев происходит в ходе выполнения работ на трансформаторных подстанциях, на воздушных линиях электропередач, вблизи электропроводки без снятия напряжения, а также в распределительных устройствах вследствие случайного прикосновения к токоведущим частям, находящимся под напряжением. </w:t>
      </w:r>
      <w:r w:rsidRPr="004A4361">
        <w:rPr>
          <w:bCs/>
        </w:rPr>
        <w:tab/>
        <w:t>Основными причинами несчастных случаев являются: недостаточная подготовленность персонала к выполнению приемов, влияющих на безопасность работ; неэффективность мероприятий по подготовке и обучению персонала выполнению требований безопасности; невыполнение мероприятий, обеспечивающих безопасность работ в энергоустановках</w:t>
      </w:r>
      <w:r w:rsidRPr="002E5417">
        <w:rPr>
          <w:bCs/>
        </w:rPr>
        <w:t>.</w:t>
      </w:r>
    </w:p>
    <w:p w:rsidR="004A4361" w:rsidRPr="004A4361" w:rsidRDefault="004A4361" w:rsidP="004A4361">
      <w:pPr>
        <w:pStyle w:val="1"/>
        <w:ind w:firstLine="709"/>
        <w:jc w:val="both"/>
        <w:rPr>
          <w:bCs/>
          <w:color w:val="FF0000"/>
        </w:rPr>
      </w:pPr>
    </w:p>
    <w:p w:rsidR="002E5417" w:rsidRPr="002E5417" w:rsidRDefault="004A4361" w:rsidP="002E5417">
      <w:pPr>
        <w:pStyle w:val="1"/>
        <w:ind w:firstLine="0"/>
        <w:jc w:val="center"/>
        <w:rPr>
          <w:b/>
          <w:bCs/>
          <w:lang w:bidi="ru-RU"/>
        </w:rPr>
      </w:pPr>
      <w:bookmarkStart w:id="17" w:name="bookmark163"/>
      <w:bookmarkStart w:id="18" w:name="bookmark161"/>
      <w:bookmarkStart w:id="19" w:name="bookmark162"/>
      <w:bookmarkStart w:id="20" w:name="bookmark164"/>
      <w:bookmarkEnd w:id="17"/>
      <w:r w:rsidRPr="004A4361">
        <w:rPr>
          <w:b/>
          <w:bCs/>
        </w:rPr>
        <w:t xml:space="preserve">Текущие и ожидаемые тенденции, которые могут оказать воздействие </w:t>
      </w:r>
      <w:bookmarkEnd w:id="18"/>
      <w:bookmarkEnd w:id="19"/>
      <w:bookmarkEnd w:id="20"/>
      <w:r w:rsidR="002E5417" w:rsidRPr="002E5417">
        <w:rPr>
          <w:b/>
          <w:bCs/>
          <w:lang w:bidi="ru-RU"/>
        </w:rPr>
        <w:t>на безопасность объектов энергетики</w:t>
      </w:r>
    </w:p>
    <w:p w:rsidR="004A4361" w:rsidRPr="004A4361" w:rsidRDefault="004A4361" w:rsidP="002E5417">
      <w:pPr>
        <w:pStyle w:val="1"/>
        <w:ind w:firstLine="0"/>
        <w:jc w:val="center"/>
        <w:rPr>
          <w:b/>
          <w:bCs/>
          <w:color w:val="FF0000"/>
        </w:rPr>
      </w:pPr>
    </w:p>
    <w:p w:rsidR="004A4361" w:rsidRPr="004A4361" w:rsidRDefault="004A4361" w:rsidP="004A4361">
      <w:pPr>
        <w:pStyle w:val="1"/>
        <w:ind w:firstLine="709"/>
        <w:jc w:val="both"/>
        <w:rPr>
          <w:bCs/>
        </w:rPr>
      </w:pPr>
      <w:r w:rsidRPr="004A4361">
        <w:rPr>
          <w:bCs/>
        </w:rPr>
        <w:t>Основными причинами возникновения системных аварий, для которых характерно каскадное развитие, продолжают оставаться:</w:t>
      </w:r>
    </w:p>
    <w:p w:rsidR="004A4361" w:rsidRPr="004A4361" w:rsidRDefault="004A4361" w:rsidP="004A4361">
      <w:pPr>
        <w:pStyle w:val="1"/>
        <w:ind w:firstLine="709"/>
        <w:jc w:val="both"/>
        <w:rPr>
          <w:bCs/>
        </w:rPr>
      </w:pPr>
      <w:r w:rsidRPr="004A4361">
        <w:rPr>
          <w:bCs/>
        </w:rPr>
        <w:t>неисправности систем релейной защиты и автоматики;</w:t>
      </w:r>
    </w:p>
    <w:p w:rsidR="004A4361" w:rsidRPr="004A4361" w:rsidRDefault="004A4361" w:rsidP="004A4361">
      <w:pPr>
        <w:pStyle w:val="1"/>
        <w:ind w:firstLine="709"/>
        <w:jc w:val="both"/>
        <w:rPr>
          <w:bCs/>
        </w:rPr>
      </w:pPr>
      <w:r w:rsidRPr="004A4361">
        <w:rPr>
          <w:bCs/>
        </w:rPr>
        <w:t>износ оборудования в процессе длительной эксплуатации;</w:t>
      </w:r>
    </w:p>
    <w:p w:rsidR="004A4361" w:rsidRPr="004A4361" w:rsidRDefault="004A4361" w:rsidP="004A4361">
      <w:pPr>
        <w:pStyle w:val="1"/>
        <w:ind w:firstLine="709"/>
        <w:jc w:val="both"/>
        <w:rPr>
          <w:bCs/>
        </w:rPr>
      </w:pPr>
      <w:r w:rsidRPr="004A4361">
        <w:rPr>
          <w:bCs/>
        </w:rPr>
        <w:t>неправильная работа средств режимной и аварийной автоматики из-за проектных ошибок и отклонений от проектов в процессе монтажа и эксплуатации оборудования;</w:t>
      </w:r>
    </w:p>
    <w:p w:rsidR="004A4361" w:rsidRPr="004A4361" w:rsidRDefault="004A4361" w:rsidP="004A4361">
      <w:pPr>
        <w:pStyle w:val="1"/>
        <w:ind w:firstLine="709"/>
        <w:jc w:val="both"/>
        <w:rPr>
          <w:bCs/>
        </w:rPr>
      </w:pPr>
      <w:r w:rsidRPr="004A4361">
        <w:rPr>
          <w:bCs/>
        </w:rPr>
        <w:t>неквалифицированные действия обслуживающего персонала;</w:t>
      </w:r>
    </w:p>
    <w:p w:rsidR="004A4361" w:rsidRPr="004A4361" w:rsidRDefault="004A4361" w:rsidP="004A4361">
      <w:pPr>
        <w:pStyle w:val="1"/>
        <w:ind w:firstLine="709"/>
        <w:jc w:val="both"/>
        <w:rPr>
          <w:bCs/>
        </w:rPr>
      </w:pPr>
      <w:r w:rsidRPr="004A4361">
        <w:rPr>
          <w:bCs/>
        </w:rPr>
        <w:t>низкое качество технического обслуживания;</w:t>
      </w:r>
    </w:p>
    <w:p w:rsidR="004A4361" w:rsidRPr="004A4361" w:rsidRDefault="004A4361" w:rsidP="004A4361">
      <w:pPr>
        <w:pStyle w:val="1"/>
        <w:ind w:firstLine="709"/>
        <w:jc w:val="both"/>
        <w:rPr>
          <w:bCs/>
        </w:rPr>
      </w:pPr>
      <w:r w:rsidRPr="004A4361">
        <w:rPr>
          <w:bCs/>
        </w:rPr>
        <w:t xml:space="preserve">производственные дефекты оборудования, </w:t>
      </w:r>
      <w:proofErr w:type="gramStart"/>
      <w:r w:rsidRPr="004A4361">
        <w:rPr>
          <w:bCs/>
        </w:rPr>
        <w:t>приводящих</w:t>
      </w:r>
      <w:proofErr w:type="gramEnd"/>
      <w:r w:rsidRPr="004A4361">
        <w:rPr>
          <w:bCs/>
        </w:rPr>
        <w:t xml:space="preserve"> к механическим повреждениям и разрушениям оборудования.</w:t>
      </w:r>
    </w:p>
    <w:p w:rsidR="004A4361" w:rsidRPr="004A4361" w:rsidRDefault="004A4361" w:rsidP="004A4361">
      <w:pPr>
        <w:pStyle w:val="1"/>
        <w:ind w:firstLine="709"/>
        <w:jc w:val="both"/>
        <w:rPr>
          <w:bCs/>
        </w:rPr>
      </w:pPr>
      <w:r w:rsidRPr="004A4361">
        <w:rPr>
          <w:bCs/>
        </w:rPr>
        <w:t>Меры по предотвращению аварийности на объектах энергетики: проведение консультаций с подконтрольными субъектами по разъяснению обязательных требований, содержащихся в нормативных правовых актах;</w:t>
      </w:r>
    </w:p>
    <w:p w:rsidR="004A4361" w:rsidRPr="004A4361" w:rsidRDefault="004A4361" w:rsidP="004A4361">
      <w:pPr>
        <w:pStyle w:val="1"/>
        <w:ind w:firstLine="709"/>
        <w:jc w:val="both"/>
        <w:rPr>
          <w:bCs/>
        </w:rPr>
      </w:pPr>
      <w:r w:rsidRPr="004A4361">
        <w:rPr>
          <w:bCs/>
        </w:rPr>
        <w:t xml:space="preserve">повышение уровня организации работ при проведении ремонта </w:t>
      </w:r>
      <w:r w:rsidRPr="004A4361">
        <w:rPr>
          <w:bCs/>
        </w:rPr>
        <w:lastRenderedPageBreak/>
        <w:t>электрооборудования, исключение фактов несоблюдения сроков или невыполнения в требуемых объемах технического обслуживания и ремонта оборудования и устройств;</w:t>
      </w:r>
    </w:p>
    <w:p w:rsidR="004A4361" w:rsidRDefault="004A4361" w:rsidP="004A4361">
      <w:pPr>
        <w:pStyle w:val="1"/>
        <w:ind w:firstLine="709"/>
        <w:jc w:val="both"/>
        <w:rPr>
          <w:bCs/>
        </w:rPr>
      </w:pPr>
      <w:r w:rsidRPr="004A4361">
        <w:rPr>
          <w:bCs/>
        </w:rPr>
        <w:t>проведение регулярных проверок знаний персоналом нормативных правовых актов по эксплуатации энергоустановок.</w:t>
      </w:r>
    </w:p>
    <w:p w:rsidR="004A4361" w:rsidRPr="004A4361" w:rsidRDefault="004A4361" w:rsidP="004A4361">
      <w:pPr>
        <w:pStyle w:val="1"/>
        <w:ind w:firstLine="709"/>
        <w:jc w:val="both"/>
        <w:rPr>
          <w:bCs/>
        </w:rPr>
      </w:pPr>
    </w:p>
    <w:p w:rsidR="002E5417" w:rsidRPr="00CD7F7C" w:rsidRDefault="002E5417" w:rsidP="002E5417">
      <w:pPr>
        <w:pStyle w:val="1"/>
        <w:jc w:val="center"/>
        <w:rPr>
          <w:b/>
          <w:bCs/>
          <w:lang w:bidi="ru-RU"/>
        </w:rPr>
      </w:pPr>
      <w:bookmarkStart w:id="21" w:name="bookmark167"/>
      <w:bookmarkEnd w:id="21"/>
      <w:r w:rsidRPr="00CD7F7C">
        <w:rPr>
          <w:b/>
          <w:bCs/>
          <w:lang w:bidi="ru-RU"/>
        </w:rPr>
        <w:t>Профилактические мероприятия, направленные на защиту населения и территорий от чрезвычайных ситуаций</w:t>
      </w:r>
    </w:p>
    <w:p w:rsidR="002E5417" w:rsidRPr="003B2215" w:rsidRDefault="002E5417" w:rsidP="002E5417">
      <w:pPr>
        <w:pStyle w:val="1"/>
        <w:jc w:val="center"/>
        <w:rPr>
          <w:b/>
          <w:bCs/>
        </w:rPr>
      </w:pPr>
    </w:p>
    <w:p w:rsidR="004A4361" w:rsidRPr="0001467D" w:rsidRDefault="002E5417" w:rsidP="0001467D">
      <w:pPr>
        <w:pStyle w:val="1"/>
        <w:jc w:val="both"/>
        <w:rPr>
          <w:bCs/>
        </w:rPr>
      </w:pPr>
      <w:r w:rsidRPr="003B2215">
        <w:rPr>
          <w:bCs/>
        </w:rPr>
        <w:tab/>
        <w:t xml:space="preserve">В соответствии  </w:t>
      </w:r>
      <w:r>
        <w:rPr>
          <w:bCs/>
        </w:rPr>
        <w:t>с требованиями законодательства Российской Федерации</w:t>
      </w:r>
      <w:r w:rsidRPr="003B2215">
        <w:rPr>
          <w:bCs/>
        </w:rPr>
        <w:t xml:space="preserve"> на официальном сайте Ростехнадзора в сети «Интернет» размещены Перечни нормативных правовых актов, содержащих обязательные требования. Один раз в полугодие готовятся обзоры правоприменительной практики.</w:t>
      </w:r>
      <w:bookmarkStart w:id="22" w:name="bookmark170"/>
      <w:bookmarkEnd w:id="22"/>
    </w:p>
    <w:p w:rsidR="00BC50F2" w:rsidRPr="00B608FA" w:rsidRDefault="00BC50F2" w:rsidP="00B608FA">
      <w:pPr>
        <w:pStyle w:val="1"/>
        <w:jc w:val="center"/>
        <w:rPr>
          <w:b/>
          <w:bCs/>
        </w:rPr>
      </w:pPr>
    </w:p>
    <w:p w:rsidR="00B608FA" w:rsidRDefault="002E5417" w:rsidP="00B608FA">
      <w:pPr>
        <w:pStyle w:val="1"/>
        <w:jc w:val="center"/>
        <w:rPr>
          <w:b/>
          <w:bCs/>
        </w:rPr>
      </w:pPr>
      <w:r>
        <w:rPr>
          <w:b/>
          <w:bCs/>
        </w:rPr>
        <w:t>С</w:t>
      </w:r>
      <w:r w:rsidR="00B608FA" w:rsidRPr="00B608FA">
        <w:rPr>
          <w:b/>
          <w:bCs/>
        </w:rPr>
        <w:t>аморегулируемы</w:t>
      </w:r>
      <w:r>
        <w:rPr>
          <w:b/>
          <w:bCs/>
        </w:rPr>
        <w:t>е</w:t>
      </w:r>
      <w:r w:rsidR="00B608FA" w:rsidRPr="00B608FA">
        <w:rPr>
          <w:b/>
          <w:bCs/>
        </w:rPr>
        <w:t xml:space="preserve"> организаци</w:t>
      </w:r>
      <w:r>
        <w:rPr>
          <w:b/>
          <w:bCs/>
        </w:rPr>
        <w:t>и</w:t>
      </w:r>
      <w:r w:rsidR="00B608FA" w:rsidRPr="00B608FA">
        <w:rPr>
          <w:b/>
          <w:bCs/>
        </w:rPr>
        <w:t xml:space="preserve">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</w:p>
    <w:p w:rsidR="00B608FA" w:rsidRPr="00B608FA" w:rsidRDefault="00B608FA" w:rsidP="00B608FA">
      <w:pPr>
        <w:pStyle w:val="1"/>
        <w:rPr>
          <w:b/>
          <w:bCs/>
        </w:rPr>
      </w:pPr>
    </w:p>
    <w:p w:rsidR="00B608FA" w:rsidRPr="00B608FA" w:rsidRDefault="00B608FA" w:rsidP="00B608FA">
      <w:pPr>
        <w:pStyle w:val="1"/>
        <w:jc w:val="both"/>
        <w:rPr>
          <w:bCs/>
        </w:rPr>
      </w:pPr>
      <w:r w:rsidRPr="00B608FA">
        <w:rPr>
          <w:bCs/>
        </w:rPr>
        <w:tab/>
        <w:t xml:space="preserve">В государственном реестре саморегулируемых организаций содержаться сведения о 435 саморегулируемых организациях осуществляющих свою деятельность на территории Северо-Кавказского </w:t>
      </w:r>
      <w:r w:rsidR="002E5417">
        <w:rPr>
          <w:bCs/>
        </w:rPr>
        <w:t>ф</w:t>
      </w:r>
      <w:r w:rsidRPr="00B608FA">
        <w:rPr>
          <w:bCs/>
        </w:rPr>
        <w:t>едерального округа, в том числе:</w:t>
      </w:r>
    </w:p>
    <w:p w:rsidR="00B608FA" w:rsidRPr="00B608FA" w:rsidRDefault="00B608FA" w:rsidP="00B608FA">
      <w:pPr>
        <w:pStyle w:val="1"/>
        <w:jc w:val="both"/>
        <w:rPr>
          <w:bCs/>
        </w:rPr>
      </w:pPr>
      <w:r w:rsidRPr="00B608FA">
        <w:rPr>
          <w:bCs/>
        </w:rPr>
        <w:tab/>
        <w:t>саморегулируемые организации, основанные на членстве лиц, выполняющих инженерные изыскания – 1;</w:t>
      </w:r>
    </w:p>
    <w:p w:rsidR="00B608FA" w:rsidRPr="00B608FA" w:rsidRDefault="00B608FA" w:rsidP="00B608FA">
      <w:pPr>
        <w:pStyle w:val="1"/>
        <w:jc w:val="both"/>
        <w:rPr>
          <w:bCs/>
        </w:rPr>
      </w:pPr>
      <w:r w:rsidRPr="00B608FA">
        <w:rPr>
          <w:bCs/>
        </w:rPr>
        <w:tab/>
      </w:r>
      <w:proofErr w:type="gramStart"/>
      <w:r w:rsidRPr="00B608FA">
        <w:rPr>
          <w:bCs/>
        </w:rPr>
        <w:t>саморегулируемые организации, основанные на членстве лиц, осуществляющих подготовку проектной документации – 2;</w:t>
      </w:r>
      <w:proofErr w:type="gramEnd"/>
    </w:p>
    <w:p w:rsidR="00B608FA" w:rsidRPr="00B608FA" w:rsidRDefault="00B608FA" w:rsidP="00B608FA">
      <w:pPr>
        <w:pStyle w:val="1"/>
        <w:jc w:val="both"/>
        <w:rPr>
          <w:bCs/>
        </w:rPr>
      </w:pPr>
      <w:r w:rsidRPr="00B608FA">
        <w:rPr>
          <w:bCs/>
        </w:rPr>
        <w:tab/>
        <w:t xml:space="preserve">саморегулируемые организации, </w:t>
      </w:r>
      <w:proofErr w:type="gramStart"/>
      <w:r w:rsidRPr="00B608FA">
        <w:rPr>
          <w:bCs/>
        </w:rPr>
        <w:t>основанные</w:t>
      </w:r>
      <w:proofErr w:type="gramEnd"/>
      <w:r w:rsidRPr="00B608FA">
        <w:rPr>
          <w:bCs/>
        </w:rPr>
        <w:t xml:space="preserve"> на членстве лиц, осуществляющих строительство – 8.</w:t>
      </w:r>
    </w:p>
    <w:p w:rsidR="00B608FA" w:rsidRPr="00B608FA" w:rsidRDefault="00B608FA" w:rsidP="00B608FA">
      <w:pPr>
        <w:pStyle w:val="1"/>
        <w:jc w:val="center"/>
        <w:rPr>
          <w:bCs/>
        </w:rPr>
      </w:pPr>
    </w:p>
    <w:p w:rsidR="007F48F4" w:rsidRPr="007F48F4" w:rsidRDefault="007F48F4" w:rsidP="007F48F4">
      <w:pPr>
        <w:pStyle w:val="1"/>
        <w:jc w:val="center"/>
        <w:rPr>
          <w:b/>
          <w:bCs/>
          <w:lang w:bidi="ru-RU"/>
        </w:rPr>
      </w:pPr>
      <w:r w:rsidRPr="007F48F4">
        <w:rPr>
          <w:b/>
          <w:bCs/>
          <w:lang w:bidi="ru-RU"/>
        </w:rPr>
        <w:t xml:space="preserve">Потенциально опасные факторы оказывающие влияние на </w:t>
      </w:r>
      <w:r>
        <w:rPr>
          <w:b/>
          <w:bCs/>
          <w:lang w:bidi="ru-RU"/>
        </w:rPr>
        <w:t>деятельность</w:t>
      </w:r>
      <w:r w:rsidRPr="007F48F4">
        <w:rPr>
          <w:b/>
          <w:bCs/>
        </w:rPr>
        <w:t xml:space="preserve"> </w:t>
      </w:r>
      <w:r>
        <w:rPr>
          <w:b/>
          <w:bCs/>
          <w:lang w:bidi="ru-RU"/>
        </w:rPr>
        <w:t>с</w:t>
      </w:r>
      <w:r w:rsidRPr="007F48F4">
        <w:rPr>
          <w:b/>
          <w:bCs/>
          <w:lang w:bidi="ru-RU"/>
        </w:rPr>
        <w:t>аморегулируемы</w:t>
      </w:r>
      <w:r>
        <w:rPr>
          <w:b/>
          <w:bCs/>
          <w:lang w:bidi="ru-RU"/>
        </w:rPr>
        <w:t>х</w:t>
      </w:r>
      <w:r w:rsidRPr="007F48F4">
        <w:rPr>
          <w:b/>
          <w:bCs/>
          <w:lang w:bidi="ru-RU"/>
        </w:rPr>
        <w:t xml:space="preserve"> организаци</w:t>
      </w:r>
      <w:r>
        <w:rPr>
          <w:b/>
          <w:bCs/>
          <w:lang w:bidi="ru-RU"/>
        </w:rPr>
        <w:t>й</w:t>
      </w:r>
      <w:r w:rsidRPr="007F48F4">
        <w:rPr>
          <w:b/>
          <w:bCs/>
          <w:lang w:bidi="ru-RU"/>
        </w:rPr>
        <w:t xml:space="preserve">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</w:p>
    <w:p w:rsidR="00B608FA" w:rsidRPr="00B608FA" w:rsidRDefault="00B608FA" w:rsidP="00B608FA">
      <w:pPr>
        <w:pStyle w:val="1"/>
        <w:rPr>
          <w:b/>
          <w:bCs/>
        </w:rPr>
      </w:pPr>
    </w:p>
    <w:p w:rsidR="00B608FA" w:rsidRPr="00B608FA" w:rsidRDefault="00B608FA" w:rsidP="006F03D3">
      <w:pPr>
        <w:pStyle w:val="1"/>
        <w:ind w:firstLine="709"/>
        <w:jc w:val="both"/>
        <w:rPr>
          <w:bCs/>
        </w:rPr>
      </w:pPr>
      <w:proofErr w:type="gramStart"/>
      <w:r w:rsidRPr="00B608FA">
        <w:rPr>
          <w:bCs/>
        </w:rPr>
        <w:t>Несоблюдение саморегулируемой организацией установленных требований к членству может привести к допуску на рынок юридических лиц и индивидуальных предпринимателей, не соответствующих установленным законодательством требованиям, что повышает вероятность некачественного выполнения работ по инженерным изысканиям, архитектурно-строительному проектированию, строительству, реконструкции и капитальному ремонту объектов капитального строительства, а также неисполнение или ненадлежащее исполнение членом саморегулируемой организации договорных обязательств.</w:t>
      </w:r>
      <w:proofErr w:type="gramEnd"/>
    </w:p>
    <w:p w:rsidR="00B608FA" w:rsidRPr="00B608FA" w:rsidRDefault="00B608FA" w:rsidP="00B608FA">
      <w:pPr>
        <w:pStyle w:val="1"/>
        <w:jc w:val="both"/>
        <w:rPr>
          <w:bCs/>
        </w:rPr>
      </w:pPr>
      <w:r w:rsidRPr="00B608FA">
        <w:rPr>
          <w:bCs/>
        </w:rPr>
        <w:tab/>
      </w:r>
      <w:proofErr w:type="gramStart"/>
      <w:r w:rsidRPr="00B608FA">
        <w:rPr>
          <w:bCs/>
        </w:rPr>
        <w:t xml:space="preserve">Несоблюдение саморегулируемой организацией требований по формированию компенсационных фондов саморегулируемой организации в установленном размере и размещению на специальных банковских счетах в уполномоченных Правительством Российской Федерации кредитных организациях </w:t>
      </w:r>
      <w:r w:rsidRPr="00B608FA">
        <w:rPr>
          <w:bCs/>
        </w:rPr>
        <w:lastRenderedPageBreak/>
        <w:t>в установленном порядке может привести к невозможности возмещения вреда (причиненного вследствие разрушения, повреждения объекта капитального строительства, нарушения требований безопасности при строительстве объекта капитального строительства, требований к обеспечению безопасной эксплуатации здания, сооружения) или невозможности возмещения</w:t>
      </w:r>
      <w:proofErr w:type="gramEnd"/>
      <w:r w:rsidRPr="00B608FA">
        <w:rPr>
          <w:bCs/>
        </w:rPr>
        <w:t xml:space="preserve"> ущерба (причиненного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изысканий, подготовку проектной документации, договору строительного подряда).</w:t>
      </w:r>
    </w:p>
    <w:p w:rsidR="00B608FA" w:rsidRPr="00B608FA" w:rsidRDefault="00B608FA" w:rsidP="00B608FA">
      <w:pPr>
        <w:pStyle w:val="1"/>
        <w:jc w:val="center"/>
        <w:rPr>
          <w:bCs/>
        </w:rPr>
      </w:pPr>
    </w:p>
    <w:p w:rsidR="00B608FA" w:rsidRPr="00B608FA" w:rsidRDefault="00B608FA" w:rsidP="00B608FA">
      <w:pPr>
        <w:pStyle w:val="1"/>
        <w:ind w:left="720" w:firstLine="0"/>
        <w:jc w:val="center"/>
        <w:rPr>
          <w:b/>
          <w:bCs/>
        </w:rPr>
      </w:pPr>
      <w:r w:rsidRPr="00B608FA">
        <w:rPr>
          <w:b/>
          <w:bCs/>
        </w:rPr>
        <w:t xml:space="preserve">Текущие и ожидаемые тенденции, которые могут оказать воздействие </w:t>
      </w:r>
      <w:r w:rsidR="007F48F4" w:rsidRPr="007F48F4">
        <w:rPr>
          <w:b/>
          <w:bCs/>
          <w:lang w:bidi="ru-RU"/>
        </w:rPr>
        <w:t>деятельность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</w:p>
    <w:p w:rsidR="00B608FA" w:rsidRPr="00B608FA" w:rsidRDefault="00B608FA" w:rsidP="00B608FA">
      <w:pPr>
        <w:pStyle w:val="1"/>
        <w:rPr>
          <w:b/>
          <w:bCs/>
        </w:rPr>
      </w:pPr>
    </w:p>
    <w:p w:rsidR="00B608FA" w:rsidRPr="00B608FA" w:rsidRDefault="00B608FA" w:rsidP="00B608FA">
      <w:pPr>
        <w:pStyle w:val="1"/>
        <w:jc w:val="both"/>
        <w:rPr>
          <w:bCs/>
        </w:rPr>
      </w:pPr>
      <w:r w:rsidRPr="00B608FA">
        <w:rPr>
          <w:bCs/>
        </w:rPr>
        <w:tab/>
        <w:t xml:space="preserve">В качестве текущих и ожидаемых тенденций можно отменить приведение деятельности саморегулируемых организаций в соответствие с законодательством о градостроительной деятельности </w:t>
      </w:r>
      <w:proofErr w:type="gramStart"/>
      <w:r w:rsidRPr="00B608FA">
        <w:rPr>
          <w:bCs/>
        </w:rPr>
        <w:t>и</w:t>
      </w:r>
      <w:proofErr w:type="gramEnd"/>
      <w:r w:rsidRPr="00B608FA">
        <w:rPr>
          <w:bCs/>
        </w:rPr>
        <w:t xml:space="preserve"> о саморегулируемых организациях путем проведения контрольно-надзорных мероприятий, направлением разъяснительных писем.</w:t>
      </w:r>
    </w:p>
    <w:p w:rsidR="00B608FA" w:rsidRPr="00B608FA" w:rsidRDefault="00B608FA" w:rsidP="00B608FA">
      <w:pPr>
        <w:pStyle w:val="1"/>
        <w:jc w:val="center"/>
        <w:rPr>
          <w:bCs/>
        </w:rPr>
      </w:pPr>
    </w:p>
    <w:p w:rsidR="007F48F4" w:rsidRPr="007F48F4" w:rsidRDefault="007F48F4" w:rsidP="007F48F4">
      <w:pPr>
        <w:pStyle w:val="1"/>
        <w:ind w:left="720" w:firstLine="0"/>
        <w:jc w:val="center"/>
        <w:rPr>
          <w:b/>
          <w:bCs/>
          <w:lang w:bidi="ru-RU"/>
        </w:rPr>
      </w:pPr>
      <w:r w:rsidRPr="007F48F4">
        <w:rPr>
          <w:b/>
          <w:bCs/>
          <w:lang w:bidi="ru-RU"/>
        </w:rPr>
        <w:t>Профилактические мероприятия, направленные на защиту населения и территорий от чрезвычайных ситуаций</w:t>
      </w:r>
    </w:p>
    <w:p w:rsidR="00B608FA" w:rsidRPr="00B608FA" w:rsidRDefault="00B608FA" w:rsidP="00B608FA">
      <w:pPr>
        <w:pStyle w:val="1"/>
        <w:rPr>
          <w:b/>
          <w:bCs/>
        </w:rPr>
      </w:pPr>
    </w:p>
    <w:p w:rsidR="00B608FA" w:rsidRPr="00B608FA" w:rsidRDefault="00B608FA" w:rsidP="0001467D">
      <w:pPr>
        <w:pStyle w:val="1"/>
        <w:jc w:val="both"/>
        <w:rPr>
          <w:bCs/>
        </w:rPr>
      </w:pPr>
      <w:r w:rsidRPr="00B608FA">
        <w:rPr>
          <w:bCs/>
        </w:rPr>
        <w:tab/>
        <w:t xml:space="preserve">В целях недопущения и профилактики нарушений обязательных требований при осуществлении надзора за саморегулируемыми организациями на постоянной основе </w:t>
      </w:r>
      <w:proofErr w:type="gramStart"/>
      <w:r w:rsidRPr="00B608FA">
        <w:rPr>
          <w:bCs/>
        </w:rPr>
        <w:t>ведется разъяснительная работа с инспекторским составом и оказывается</w:t>
      </w:r>
      <w:proofErr w:type="gramEnd"/>
      <w:r w:rsidRPr="00B608FA">
        <w:rPr>
          <w:bCs/>
        </w:rPr>
        <w:t xml:space="preserve"> методологическая помощь отделам государственного строительного надзора и по надзору за грузоподъемными механизмами Кавказского управления Ростехнадзора. За разъяснениями требований законодательства о градостроительной деятельности </w:t>
      </w:r>
      <w:proofErr w:type="gramStart"/>
      <w:r w:rsidRPr="00B608FA">
        <w:rPr>
          <w:bCs/>
        </w:rPr>
        <w:t>и</w:t>
      </w:r>
      <w:proofErr w:type="gramEnd"/>
      <w:r w:rsidRPr="00B608FA">
        <w:rPr>
          <w:bCs/>
        </w:rPr>
        <w:t xml:space="preserve"> о саморегулируемых организациях в Ростехнадзор обращаются граждане, которым даются разъяснения по вопросам в сфере саморегулирования. Один раз в полугодие готовятся обзоры правоприменительной практики.</w:t>
      </w:r>
    </w:p>
    <w:p w:rsidR="00B608FA" w:rsidRPr="00B608FA" w:rsidRDefault="00B608FA" w:rsidP="00201EB8">
      <w:pPr>
        <w:pStyle w:val="1"/>
        <w:jc w:val="center"/>
        <w:rPr>
          <w:bCs/>
        </w:rPr>
      </w:pPr>
    </w:p>
    <w:p w:rsidR="00B608FA" w:rsidRDefault="007F48F4" w:rsidP="007F48F4">
      <w:pPr>
        <w:pStyle w:val="1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О</w:t>
      </w:r>
      <w:r w:rsidRPr="007F48F4">
        <w:rPr>
          <w:b/>
          <w:bCs/>
          <w:lang w:bidi="ru-RU"/>
        </w:rPr>
        <w:t>бъект</w:t>
      </w:r>
      <w:r>
        <w:rPr>
          <w:b/>
          <w:bCs/>
          <w:lang w:bidi="ru-RU"/>
        </w:rPr>
        <w:t xml:space="preserve">ы </w:t>
      </w:r>
      <w:r w:rsidRPr="007F48F4">
        <w:rPr>
          <w:b/>
          <w:bCs/>
          <w:lang w:bidi="ru-RU"/>
        </w:rPr>
        <w:t xml:space="preserve"> капитального строительства</w:t>
      </w:r>
    </w:p>
    <w:p w:rsidR="00B608FA" w:rsidRPr="00B608FA" w:rsidRDefault="00B608FA" w:rsidP="00B608FA">
      <w:pPr>
        <w:pStyle w:val="1"/>
        <w:jc w:val="center"/>
        <w:rPr>
          <w:b/>
          <w:bCs/>
          <w:lang w:bidi="ru-RU"/>
        </w:rPr>
      </w:pPr>
    </w:p>
    <w:p w:rsidR="00B608FA" w:rsidRDefault="00B608FA" w:rsidP="006F03D3">
      <w:pPr>
        <w:pStyle w:val="1"/>
        <w:ind w:firstLine="709"/>
        <w:jc w:val="both"/>
        <w:rPr>
          <w:bCs/>
        </w:rPr>
      </w:pPr>
      <w:r w:rsidRPr="00B608FA">
        <w:rPr>
          <w:bCs/>
        </w:rPr>
        <w:t xml:space="preserve">Количество поднадзорных </w:t>
      </w:r>
      <w:r w:rsidR="007F48F4">
        <w:rPr>
          <w:bCs/>
        </w:rPr>
        <w:t>Кавказскому управлению</w:t>
      </w:r>
      <w:r w:rsidRPr="00B608FA">
        <w:rPr>
          <w:bCs/>
        </w:rPr>
        <w:t xml:space="preserve"> Ростехнадзора объектов капитального строительства (за исключением объектов использования атомной энергии), включая объекты, по которым выданы заключения о соответствии требованиям проектной документации, в 2020 году составило 120 объектов. В соответствии с пунктом 5.1 статьи 6 и статьей 48.1 Градостроительного кодекса Российской Федерации поднадзорные объекты капитального строительства распределены по следующим категориям:</w:t>
      </w:r>
    </w:p>
    <w:p w:rsidR="00201EB8" w:rsidRPr="00B608FA" w:rsidRDefault="00201EB8" w:rsidP="00201EB8">
      <w:pPr>
        <w:pStyle w:val="1"/>
        <w:jc w:val="both"/>
        <w:rPr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843"/>
        <w:gridCol w:w="1559"/>
      </w:tblGrid>
      <w:tr w:rsidR="00B608FA" w:rsidRPr="00B608FA" w:rsidTr="00CA76B5">
        <w:trPr>
          <w:trHeight w:val="633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:rsidR="006F03D3" w:rsidRDefault="00B608FA" w:rsidP="007F48F4">
            <w:pPr>
              <w:pStyle w:val="1"/>
              <w:ind w:firstLine="34"/>
              <w:jc w:val="center"/>
              <w:rPr>
                <w:bCs/>
                <w:i/>
              </w:rPr>
            </w:pPr>
            <w:r w:rsidRPr="00201EB8">
              <w:rPr>
                <w:bCs/>
                <w:i/>
              </w:rPr>
              <w:lastRenderedPageBreak/>
              <w:t>№</w:t>
            </w:r>
          </w:p>
          <w:p w:rsidR="00B608FA" w:rsidRPr="00201EB8" w:rsidRDefault="00B608FA" w:rsidP="007F48F4">
            <w:pPr>
              <w:pStyle w:val="1"/>
              <w:ind w:firstLine="34"/>
              <w:jc w:val="center"/>
              <w:rPr>
                <w:bCs/>
                <w:i/>
              </w:rPr>
            </w:pPr>
            <w:proofErr w:type="gramStart"/>
            <w:r w:rsidRPr="00201EB8">
              <w:rPr>
                <w:bCs/>
                <w:i/>
              </w:rPr>
              <w:t>п</w:t>
            </w:r>
            <w:proofErr w:type="gramEnd"/>
            <w:r w:rsidRPr="00201EB8">
              <w:rPr>
                <w:bCs/>
                <w:i/>
              </w:rPr>
              <w:t>/п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  <w:vAlign w:val="center"/>
            <w:hideMark/>
          </w:tcPr>
          <w:p w:rsidR="00B608FA" w:rsidRPr="00201EB8" w:rsidRDefault="00B608FA" w:rsidP="00B608FA">
            <w:pPr>
              <w:pStyle w:val="1"/>
              <w:rPr>
                <w:bCs/>
                <w:i/>
              </w:rPr>
            </w:pPr>
            <w:r w:rsidRPr="00201EB8">
              <w:rPr>
                <w:bCs/>
                <w:i/>
              </w:rPr>
              <w:t>Вид поднадзорного объекта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:rsidR="00B608FA" w:rsidRPr="00201EB8" w:rsidRDefault="00B608FA" w:rsidP="007F48F4">
            <w:pPr>
              <w:pStyle w:val="1"/>
              <w:ind w:firstLine="0"/>
              <w:jc w:val="center"/>
              <w:rPr>
                <w:bCs/>
                <w:i/>
              </w:rPr>
            </w:pPr>
            <w:r w:rsidRPr="00201EB8">
              <w:rPr>
                <w:bCs/>
                <w:i/>
              </w:rPr>
              <w:t>Количество поднадзорных               объектов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B608FA" w:rsidRPr="00201EB8" w:rsidRDefault="00B608FA" w:rsidP="007F48F4">
            <w:pPr>
              <w:pStyle w:val="1"/>
              <w:ind w:firstLine="33"/>
              <w:jc w:val="center"/>
              <w:rPr>
                <w:bCs/>
                <w:i/>
              </w:rPr>
            </w:pPr>
            <w:r w:rsidRPr="00201EB8">
              <w:rPr>
                <w:bCs/>
                <w:i/>
              </w:rPr>
              <w:t>%</w:t>
            </w:r>
            <w:r w:rsidRPr="00201EB8">
              <w:rPr>
                <w:bCs/>
                <w:i/>
              </w:rPr>
              <w:br/>
              <w:t>от общего количества</w:t>
            </w:r>
          </w:p>
        </w:tc>
      </w:tr>
      <w:tr w:rsidR="00B608FA" w:rsidRPr="00B608FA" w:rsidTr="00CA76B5">
        <w:trPr>
          <w:trHeight w:val="483"/>
        </w:trPr>
        <w:tc>
          <w:tcPr>
            <w:tcW w:w="993" w:type="dxa"/>
            <w:vMerge/>
            <w:shd w:val="clear" w:color="auto" w:fill="FFFFFF" w:themeFill="background1"/>
            <w:hideMark/>
          </w:tcPr>
          <w:p w:rsidR="00B608FA" w:rsidRPr="00B608FA" w:rsidRDefault="00B608FA" w:rsidP="00B608FA">
            <w:pPr>
              <w:pStyle w:val="1"/>
              <w:rPr>
                <w:bCs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hideMark/>
          </w:tcPr>
          <w:p w:rsidR="00B608FA" w:rsidRPr="00B608FA" w:rsidRDefault="00B608FA" w:rsidP="00B608FA">
            <w:pPr>
              <w:pStyle w:val="1"/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:rsidR="00B608FA" w:rsidRPr="00B608FA" w:rsidRDefault="00B608FA" w:rsidP="00B608FA">
            <w:pPr>
              <w:pStyle w:val="1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hideMark/>
          </w:tcPr>
          <w:p w:rsidR="00B608FA" w:rsidRPr="00B608FA" w:rsidRDefault="00B608FA" w:rsidP="00B608FA">
            <w:pPr>
              <w:pStyle w:val="1"/>
              <w:rPr>
                <w:bCs/>
              </w:rPr>
            </w:pP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1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Объекты на территории двух и более субъектах РФ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1,6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Объекты в исключительной экономической зоне РФ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3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Объекты на континентальном шельфе РФ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4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Объекты во внутренних морских водах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5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Объекты в территориальном море РФ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6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Объекты обороны и безопасности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7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Автомобильные дороги федерального значения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9,16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8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Объекты культурного наследия федерального значения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9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Гидротехнические сооружения I,II класса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9,16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10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 xml:space="preserve">Сооружения связи, являющиеся особо опасными, технически сложными в соответствии с </w:t>
            </w:r>
            <w:r w:rsidRPr="00C624CC">
              <w:rPr>
                <w:bCs/>
              </w:rPr>
              <w:t>законодательством</w:t>
            </w:r>
            <w:r w:rsidRPr="00B608FA">
              <w:rPr>
                <w:bCs/>
              </w:rPr>
              <w:t xml:space="preserve"> Российской Федерации в области связи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</w:tr>
      <w:tr w:rsidR="00B608FA" w:rsidRPr="00B608FA" w:rsidTr="00CA76B5">
        <w:trPr>
          <w:trHeight w:val="52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11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 xml:space="preserve">Линии электропередачи и иные объекты электросетевого хозяйства напряжением 330 </w:t>
            </w:r>
            <w:proofErr w:type="spellStart"/>
            <w:r w:rsidRPr="00B608FA">
              <w:rPr>
                <w:bCs/>
              </w:rPr>
              <w:t>кВ</w:t>
            </w:r>
            <w:proofErr w:type="spellEnd"/>
            <w:r w:rsidRPr="00B608FA">
              <w:rPr>
                <w:bCs/>
              </w:rPr>
              <w:t xml:space="preserve"> и более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14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11,66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12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Объекты космической инфраструктуры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13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Объекты инфраструктуры воздушного транспорта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7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5,83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14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Объекты инфраструктуры железнодорожного транспорта общего пользования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0,83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15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Объекты инфраструктуры внеуличного транспорта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16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0,83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17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Тепловые электростанции мощностью 150 МВт и выше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18</w:t>
            </w:r>
          </w:p>
        </w:tc>
        <w:tc>
          <w:tcPr>
            <w:tcW w:w="4961" w:type="dxa"/>
            <w:vAlign w:val="center"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Подвесные канатные дороги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2,5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19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Опасные производственные объекты, из них: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22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18,33</w:t>
            </w:r>
          </w:p>
        </w:tc>
      </w:tr>
      <w:tr w:rsidR="00B608FA" w:rsidRPr="00B608FA" w:rsidTr="00CA76B5">
        <w:trPr>
          <w:trHeight w:val="804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lastRenderedPageBreak/>
              <w:t>19.1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proofErr w:type="gramStart"/>
            <w:r w:rsidRPr="00B608FA">
              <w:rPr>
                <w:bCs/>
              </w:rPr>
              <w:t>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вещества, (ед.), из них: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19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15,83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19.1.1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 xml:space="preserve">опасные производственные объекты добычи нефти, газа и газового конденсата; 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</w:tr>
      <w:tr w:rsidR="00B608FA" w:rsidRPr="00B608FA" w:rsidTr="00CA76B5">
        <w:trPr>
          <w:trHeight w:val="55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19.2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</w:tr>
      <w:tr w:rsidR="00B608FA" w:rsidRPr="00B608FA" w:rsidTr="00CA76B5">
        <w:trPr>
          <w:trHeight w:val="69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19.3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0,83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19.4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 xml:space="preserve"> иные опасные производственные объекты;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2,5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20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Уникальные объекты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1,66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21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Объекты размещения отходов, объекты обезвреживания отходов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22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Объекты, сведения о которых составляют государственную тайну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35,83</w:t>
            </w:r>
          </w:p>
        </w:tc>
      </w:tr>
      <w:tr w:rsidR="00B608FA" w:rsidRPr="00B608FA" w:rsidTr="00CA76B5">
        <w:trPr>
          <w:trHeight w:val="288"/>
        </w:trPr>
        <w:tc>
          <w:tcPr>
            <w:tcW w:w="993" w:type="dxa"/>
            <w:noWrap/>
            <w:vAlign w:val="center"/>
            <w:hideMark/>
          </w:tcPr>
          <w:p w:rsidR="00B608FA" w:rsidRPr="00B608FA" w:rsidRDefault="00B608FA" w:rsidP="00201EB8">
            <w:pPr>
              <w:pStyle w:val="1"/>
              <w:ind w:firstLine="34"/>
              <w:rPr>
                <w:bCs/>
              </w:rPr>
            </w:pPr>
            <w:r w:rsidRPr="00B608FA">
              <w:rPr>
                <w:bCs/>
              </w:rPr>
              <w:t>23</w:t>
            </w:r>
          </w:p>
        </w:tc>
        <w:tc>
          <w:tcPr>
            <w:tcW w:w="4961" w:type="dxa"/>
            <w:vAlign w:val="center"/>
            <w:hideMark/>
          </w:tcPr>
          <w:p w:rsidR="00B608FA" w:rsidRPr="00B608FA" w:rsidRDefault="00B608FA" w:rsidP="00CA76B5">
            <w:pPr>
              <w:pStyle w:val="1"/>
              <w:ind w:firstLine="0"/>
              <w:rPr>
                <w:bCs/>
              </w:rPr>
            </w:pPr>
            <w:r w:rsidRPr="00B608FA">
              <w:rPr>
                <w:bCs/>
              </w:rPr>
              <w:t>Иные объекты, определенные Правительством Российской Федерации</w:t>
            </w:r>
          </w:p>
        </w:tc>
        <w:tc>
          <w:tcPr>
            <w:tcW w:w="1843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43</w:t>
            </w:r>
          </w:p>
        </w:tc>
        <w:tc>
          <w:tcPr>
            <w:tcW w:w="1559" w:type="dxa"/>
            <w:noWrap/>
            <w:vAlign w:val="center"/>
          </w:tcPr>
          <w:p w:rsidR="00B608FA" w:rsidRPr="006F03D3" w:rsidRDefault="00B608FA" w:rsidP="006F03D3">
            <w:pPr>
              <w:pStyle w:val="1"/>
              <w:ind w:firstLine="0"/>
              <w:jc w:val="center"/>
              <w:rPr>
                <w:bCs/>
              </w:rPr>
            </w:pPr>
            <w:r w:rsidRPr="006F03D3">
              <w:rPr>
                <w:bCs/>
              </w:rPr>
              <w:t>15,83</w:t>
            </w:r>
          </w:p>
        </w:tc>
      </w:tr>
      <w:tr w:rsidR="00B608FA" w:rsidRPr="00B608FA" w:rsidTr="00CA76B5">
        <w:trPr>
          <w:trHeight w:val="288"/>
        </w:trPr>
        <w:tc>
          <w:tcPr>
            <w:tcW w:w="5954" w:type="dxa"/>
            <w:gridSpan w:val="2"/>
            <w:vAlign w:val="center"/>
            <w:hideMark/>
          </w:tcPr>
          <w:p w:rsidR="00B608FA" w:rsidRPr="00B608FA" w:rsidRDefault="00B608FA" w:rsidP="00CA76B5">
            <w:pPr>
              <w:pStyle w:val="1"/>
              <w:rPr>
                <w:bCs/>
              </w:rPr>
            </w:pPr>
            <w:r w:rsidRPr="00B608FA">
              <w:rPr>
                <w:b/>
                <w:bCs/>
              </w:rPr>
              <w:t>ИТОГО</w:t>
            </w:r>
            <w:r w:rsidRPr="00B608FA">
              <w:rPr>
                <w:bCs/>
              </w:rPr>
              <w:t xml:space="preserve"> (поднадзорных объектов):</w:t>
            </w:r>
          </w:p>
        </w:tc>
        <w:tc>
          <w:tcPr>
            <w:tcW w:w="1843" w:type="dxa"/>
            <w:noWrap/>
            <w:vAlign w:val="center"/>
          </w:tcPr>
          <w:p w:rsidR="00B608FA" w:rsidRPr="00B608FA" w:rsidRDefault="00B608FA" w:rsidP="006F03D3">
            <w:pPr>
              <w:pStyle w:val="1"/>
              <w:ind w:firstLine="34"/>
              <w:jc w:val="center"/>
              <w:rPr>
                <w:b/>
                <w:bCs/>
              </w:rPr>
            </w:pPr>
            <w:r w:rsidRPr="00B608FA">
              <w:rPr>
                <w:b/>
                <w:bCs/>
              </w:rPr>
              <w:t>120</w:t>
            </w:r>
          </w:p>
        </w:tc>
        <w:tc>
          <w:tcPr>
            <w:tcW w:w="1559" w:type="dxa"/>
            <w:noWrap/>
            <w:vAlign w:val="center"/>
          </w:tcPr>
          <w:p w:rsidR="00B608FA" w:rsidRPr="00B608FA" w:rsidRDefault="00B608FA" w:rsidP="00B608FA">
            <w:pPr>
              <w:pStyle w:val="1"/>
              <w:rPr>
                <w:b/>
                <w:bCs/>
              </w:rPr>
            </w:pPr>
            <w:r w:rsidRPr="00B608FA">
              <w:rPr>
                <w:b/>
                <w:bCs/>
              </w:rPr>
              <w:t>100</w:t>
            </w:r>
          </w:p>
        </w:tc>
      </w:tr>
    </w:tbl>
    <w:p w:rsidR="00B608FA" w:rsidRPr="00B608FA" w:rsidRDefault="00B608FA" w:rsidP="00B608FA">
      <w:pPr>
        <w:pStyle w:val="1"/>
        <w:jc w:val="center"/>
        <w:rPr>
          <w:bCs/>
        </w:rPr>
      </w:pPr>
    </w:p>
    <w:p w:rsidR="00B608FA" w:rsidRDefault="007F48F4" w:rsidP="007F48F4">
      <w:pPr>
        <w:pStyle w:val="1"/>
        <w:jc w:val="center"/>
        <w:rPr>
          <w:b/>
          <w:bCs/>
          <w:lang w:bidi="ru-RU"/>
        </w:rPr>
      </w:pPr>
      <w:r w:rsidRPr="007F48F4">
        <w:rPr>
          <w:b/>
          <w:bCs/>
          <w:lang w:bidi="ru-RU"/>
        </w:rPr>
        <w:t>Потенциально опасные факторы оказывающие влияние на</w:t>
      </w:r>
      <w:r>
        <w:rPr>
          <w:b/>
          <w:bCs/>
          <w:lang w:bidi="ru-RU"/>
        </w:rPr>
        <w:t xml:space="preserve"> безопасность объектов капитального строительства</w:t>
      </w:r>
    </w:p>
    <w:p w:rsidR="007F48F4" w:rsidRPr="00B608FA" w:rsidRDefault="007F48F4" w:rsidP="00B608FA">
      <w:pPr>
        <w:pStyle w:val="1"/>
        <w:rPr>
          <w:b/>
          <w:bCs/>
        </w:rPr>
      </w:pPr>
    </w:p>
    <w:p w:rsidR="00B608FA" w:rsidRPr="00B608FA" w:rsidRDefault="00B608FA" w:rsidP="0042489C">
      <w:pPr>
        <w:pStyle w:val="1"/>
        <w:ind w:firstLine="709"/>
        <w:jc w:val="both"/>
        <w:rPr>
          <w:bCs/>
        </w:rPr>
      </w:pPr>
      <w:r w:rsidRPr="00B608FA">
        <w:rPr>
          <w:bCs/>
        </w:rPr>
        <w:t xml:space="preserve">Угроза причинения вреда личности или имуществу граждан, имуществу юридических лиц вследствие разрушения, повреждения здания, сооружения либо части здания или сооружения в результате несоответствия построенного, реконструированного объекта капитального строительства и (или) работ, выполненных в процессе строительства, реконструкции объекта капитального строительства, требованиям утвержденной проектной документации и требованиям </w:t>
      </w:r>
      <w:r w:rsidRPr="00B608FA">
        <w:rPr>
          <w:bCs/>
        </w:rPr>
        <w:lastRenderedPageBreak/>
        <w:t>технических регламентов.</w:t>
      </w:r>
    </w:p>
    <w:p w:rsidR="00B608FA" w:rsidRPr="00B608FA" w:rsidRDefault="00B608FA" w:rsidP="00B608FA">
      <w:pPr>
        <w:pStyle w:val="1"/>
        <w:jc w:val="center"/>
        <w:rPr>
          <w:bCs/>
        </w:rPr>
      </w:pPr>
    </w:p>
    <w:p w:rsidR="007F48F4" w:rsidRPr="007F48F4" w:rsidRDefault="00B608FA" w:rsidP="007F48F4">
      <w:pPr>
        <w:pStyle w:val="1"/>
        <w:ind w:left="644" w:firstLine="0"/>
        <w:jc w:val="center"/>
        <w:rPr>
          <w:b/>
          <w:bCs/>
          <w:lang w:bidi="ru-RU"/>
        </w:rPr>
      </w:pPr>
      <w:r w:rsidRPr="00B608FA">
        <w:rPr>
          <w:b/>
          <w:bCs/>
          <w:lang w:bidi="ru-RU"/>
        </w:rPr>
        <w:t>Текущие и ожид</w:t>
      </w:r>
      <w:r w:rsidR="007F48F4">
        <w:rPr>
          <w:b/>
          <w:bCs/>
          <w:lang w:bidi="ru-RU"/>
        </w:rPr>
        <w:t xml:space="preserve">аемые тенденции, которые могут </w:t>
      </w:r>
      <w:r w:rsidRPr="00B608FA">
        <w:rPr>
          <w:b/>
          <w:bCs/>
          <w:lang w:bidi="ru-RU"/>
        </w:rPr>
        <w:t xml:space="preserve">оказать воздействие </w:t>
      </w:r>
      <w:r w:rsidR="007F48F4" w:rsidRPr="007F48F4">
        <w:rPr>
          <w:b/>
          <w:bCs/>
          <w:lang w:bidi="ru-RU"/>
        </w:rPr>
        <w:t>на безопасность</w:t>
      </w:r>
      <w:r w:rsidR="007F48F4">
        <w:rPr>
          <w:b/>
          <w:bCs/>
          <w:lang w:bidi="ru-RU"/>
        </w:rPr>
        <w:t xml:space="preserve"> объектов капитального </w:t>
      </w:r>
      <w:r w:rsidR="007F48F4" w:rsidRPr="007F48F4">
        <w:rPr>
          <w:b/>
          <w:bCs/>
          <w:lang w:bidi="ru-RU"/>
        </w:rPr>
        <w:t>строительства</w:t>
      </w:r>
    </w:p>
    <w:p w:rsidR="00B608FA" w:rsidRPr="00B608FA" w:rsidRDefault="00B608FA" w:rsidP="00B608FA">
      <w:pPr>
        <w:pStyle w:val="1"/>
        <w:rPr>
          <w:b/>
          <w:bCs/>
        </w:rPr>
      </w:pPr>
    </w:p>
    <w:p w:rsidR="00B608FA" w:rsidRPr="00B608FA" w:rsidRDefault="00B608FA" w:rsidP="0042489C">
      <w:pPr>
        <w:pStyle w:val="1"/>
        <w:ind w:firstLine="709"/>
        <w:jc w:val="both"/>
        <w:rPr>
          <w:bCs/>
        </w:rPr>
      </w:pPr>
      <w:r w:rsidRPr="00B608FA">
        <w:rPr>
          <w:bCs/>
        </w:rPr>
        <w:t xml:space="preserve">В качестве основных тенденций, которые могут оказать влияние на состояние подконтрольной среды, является реализация плана мероприятий механизма «регуляторной гильотины». </w:t>
      </w:r>
    </w:p>
    <w:p w:rsidR="00B608FA" w:rsidRPr="00B608FA" w:rsidRDefault="00B608FA" w:rsidP="0042489C">
      <w:pPr>
        <w:pStyle w:val="1"/>
        <w:ind w:firstLine="709"/>
        <w:jc w:val="both"/>
        <w:rPr>
          <w:bCs/>
        </w:rPr>
      </w:pPr>
      <w:r w:rsidRPr="00B608FA">
        <w:rPr>
          <w:bCs/>
        </w:rPr>
        <w:t xml:space="preserve">Принятие </w:t>
      </w:r>
      <w:r w:rsidR="007F48F4">
        <w:rPr>
          <w:bCs/>
        </w:rPr>
        <w:t>нормативных актов</w:t>
      </w:r>
      <w:r w:rsidRPr="00B608FA">
        <w:rPr>
          <w:bCs/>
        </w:rPr>
        <w:t xml:space="preserve">, устанавливающих обязательные требования в отдельных сферах или при внесении в законодательство изменений в целях систематизации и (или) исключения обязательных требований, признания </w:t>
      </w:r>
      <w:proofErr w:type="gramStart"/>
      <w:r w:rsidRPr="00B608FA">
        <w:rPr>
          <w:bCs/>
        </w:rPr>
        <w:t>утратившими</w:t>
      </w:r>
      <w:proofErr w:type="gramEnd"/>
      <w:r w:rsidRPr="00B608FA">
        <w:rPr>
          <w:bCs/>
        </w:rPr>
        <w:t xml:space="preserve"> силу некоторых нормативных правовых актов, трансформирует, в том числе и градостроительное законодательство. Указанные изменения в конечном итоге должны привести недопущению нарушения прав предпринимателей, осуществляющих строительство объектов капитального строительства, при сохранении </w:t>
      </w:r>
      <w:proofErr w:type="gramStart"/>
      <w:r w:rsidRPr="00B608FA">
        <w:rPr>
          <w:bCs/>
        </w:rPr>
        <w:t>гарантий государства предотвращения причинения вреда личности</w:t>
      </w:r>
      <w:proofErr w:type="gramEnd"/>
      <w:r w:rsidRPr="00B608FA">
        <w:rPr>
          <w:bCs/>
        </w:rPr>
        <w:t xml:space="preserve"> или имуществу граждан, имуществу юридических лиц вследствие нарушения субъектами предпринимательской деятельности законодательства о градостроительной деятельности.</w:t>
      </w:r>
    </w:p>
    <w:p w:rsidR="00B608FA" w:rsidRPr="00B608FA" w:rsidRDefault="00B608FA" w:rsidP="00B608FA">
      <w:pPr>
        <w:pStyle w:val="1"/>
        <w:jc w:val="center"/>
        <w:rPr>
          <w:bCs/>
        </w:rPr>
      </w:pPr>
    </w:p>
    <w:p w:rsidR="007F48F4" w:rsidRPr="007F48F4" w:rsidRDefault="007F48F4" w:rsidP="007F48F4">
      <w:pPr>
        <w:pStyle w:val="1"/>
        <w:jc w:val="center"/>
        <w:rPr>
          <w:b/>
          <w:bCs/>
          <w:lang w:bidi="ru-RU"/>
        </w:rPr>
      </w:pPr>
      <w:r w:rsidRPr="007F48F4">
        <w:rPr>
          <w:b/>
          <w:bCs/>
          <w:lang w:bidi="ru-RU"/>
        </w:rPr>
        <w:t>Профилактические мероприятия, направленные на защиту населения и территорий от чрезвычайных ситуаций</w:t>
      </w:r>
    </w:p>
    <w:p w:rsidR="00B608FA" w:rsidRPr="00B608FA" w:rsidRDefault="00B608FA" w:rsidP="00B608FA">
      <w:pPr>
        <w:pStyle w:val="1"/>
        <w:jc w:val="center"/>
        <w:rPr>
          <w:b/>
          <w:bCs/>
        </w:rPr>
      </w:pPr>
    </w:p>
    <w:p w:rsidR="00B608FA" w:rsidRPr="00B608FA" w:rsidRDefault="0042489C" w:rsidP="00C624CC">
      <w:pPr>
        <w:pStyle w:val="1"/>
        <w:jc w:val="both"/>
        <w:rPr>
          <w:bCs/>
        </w:rPr>
      </w:pPr>
      <w:r>
        <w:rPr>
          <w:bCs/>
        </w:rPr>
        <w:tab/>
      </w:r>
      <w:r w:rsidR="00B608FA" w:rsidRPr="00B608FA">
        <w:rPr>
          <w:bCs/>
        </w:rPr>
        <w:t xml:space="preserve">Информация об осуществлении государственного строительного надзора размещается на официальном сайте Ростехнадзора в разделе: </w:t>
      </w:r>
      <w:r w:rsidR="00B608FA" w:rsidRPr="00B608FA">
        <w:rPr>
          <w:bCs/>
        </w:rPr>
        <w:br/>
        <w:t xml:space="preserve">«Строительный надзор/Государственный строительный надзор» по адресу </w:t>
      </w:r>
      <w:r w:rsidR="00B608FA" w:rsidRPr="00B608FA">
        <w:rPr>
          <w:bCs/>
          <w:lang w:val="en-US"/>
        </w:rPr>
        <w:t>w</w:t>
      </w:r>
      <w:r w:rsidR="00B608FA" w:rsidRPr="00B608FA">
        <w:rPr>
          <w:bCs/>
        </w:rPr>
        <w:t>ww.gosnadzor.ru/</w:t>
      </w:r>
      <w:proofErr w:type="spellStart"/>
      <w:r w:rsidR="00B608FA" w:rsidRPr="00B608FA">
        <w:rPr>
          <w:bCs/>
        </w:rPr>
        <w:t>building</w:t>
      </w:r>
      <w:proofErr w:type="spellEnd"/>
      <w:r w:rsidR="00B608FA" w:rsidRPr="00B608FA">
        <w:rPr>
          <w:bCs/>
        </w:rPr>
        <w:t>/</w:t>
      </w:r>
      <w:proofErr w:type="spellStart"/>
      <w:r w:rsidR="00B608FA" w:rsidRPr="00B608FA">
        <w:rPr>
          <w:bCs/>
        </w:rPr>
        <w:t>gosbuilding</w:t>
      </w:r>
      <w:proofErr w:type="spellEnd"/>
      <w:r w:rsidR="00B608FA" w:rsidRPr="00B608FA">
        <w:rPr>
          <w:bCs/>
        </w:rPr>
        <w:t>.</w:t>
      </w:r>
    </w:p>
    <w:p w:rsidR="00B608FA" w:rsidRPr="00B608FA" w:rsidRDefault="0042489C" w:rsidP="00C624CC">
      <w:pPr>
        <w:pStyle w:val="1"/>
        <w:jc w:val="both"/>
        <w:rPr>
          <w:bCs/>
        </w:rPr>
      </w:pPr>
      <w:r>
        <w:rPr>
          <w:bCs/>
        </w:rPr>
        <w:tab/>
      </w:r>
      <w:r w:rsidR="00B608FA" w:rsidRPr="00B608FA">
        <w:rPr>
          <w:bCs/>
        </w:rPr>
        <w:t xml:space="preserve">В соответствии с </w:t>
      </w:r>
      <w:r w:rsidR="007F48F4">
        <w:rPr>
          <w:bCs/>
        </w:rPr>
        <w:t>требованиями законодательства российской Федерации</w:t>
      </w:r>
      <w:r w:rsidR="00B608FA" w:rsidRPr="00B608FA">
        <w:rPr>
          <w:bCs/>
        </w:rPr>
        <w:t xml:space="preserve"> на официальном сайте Ростехнадзора в сети «Интернет» размещены перечни нормативных правовых актов, содержащих обязательные требования </w:t>
      </w:r>
      <w:proofErr w:type="gramStart"/>
      <w:r w:rsidR="00B608FA" w:rsidRPr="00B608FA">
        <w:rPr>
          <w:bCs/>
        </w:rPr>
        <w:t>для</w:t>
      </w:r>
      <w:proofErr w:type="gramEnd"/>
      <w:r w:rsidR="00B608FA" w:rsidRPr="00B608FA">
        <w:rPr>
          <w:bCs/>
        </w:rPr>
        <w:t xml:space="preserve"> федерального государственного строительного надзора.</w:t>
      </w:r>
    </w:p>
    <w:p w:rsidR="00B608FA" w:rsidRPr="00B608FA" w:rsidRDefault="0042489C" w:rsidP="00C624CC">
      <w:pPr>
        <w:pStyle w:val="1"/>
        <w:jc w:val="both"/>
        <w:rPr>
          <w:bCs/>
        </w:rPr>
      </w:pPr>
      <w:r>
        <w:rPr>
          <w:bCs/>
        </w:rPr>
        <w:tab/>
      </w:r>
      <w:r w:rsidR="00B608FA" w:rsidRPr="00B608FA">
        <w:rPr>
          <w:bCs/>
        </w:rPr>
        <w:t>Ежеквартально готовятся обзоры правоприменительной практики в части государственного строительного надзора.</w:t>
      </w:r>
    </w:p>
    <w:p w:rsidR="00B608FA" w:rsidRPr="00B608FA" w:rsidRDefault="0042489C" w:rsidP="00C624CC">
      <w:pPr>
        <w:pStyle w:val="1"/>
        <w:jc w:val="both"/>
        <w:rPr>
          <w:bCs/>
        </w:rPr>
      </w:pPr>
      <w:r>
        <w:rPr>
          <w:bCs/>
        </w:rPr>
        <w:tab/>
      </w:r>
      <w:r w:rsidR="00B608FA" w:rsidRPr="00B608FA">
        <w:rPr>
          <w:bCs/>
        </w:rPr>
        <w:t xml:space="preserve">В целях недопущения и профилактики нарушений обязательных требований на постоянной основе </w:t>
      </w:r>
      <w:proofErr w:type="gramStart"/>
      <w:r w:rsidR="00B608FA" w:rsidRPr="00B608FA">
        <w:rPr>
          <w:bCs/>
        </w:rPr>
        <w:t>ведется разъяснительная работа и оказывается</w:t>
      </w:r>
      <w:proofErr w:type="gramEnd"/>
      <w:r w:rsidR="00B608FA" w:rsidRPr="00B608FA">
        <w:rPr>
          <w:bCs/>
        </w:rPr>
        <w:t xml:space="preserve"> методологическая помощь территориальным органам Ростехнадзора при осуществлении контрольно-надзорной деятельности.</w:t>
      </w:r>
    </w:p>
    <w:p w:rsidR="007F48F4" w:rsidRDefault="007F48F4" w:rsidP="007F48F4">
      <w:pPr>
        <w:pStyle w:val="1"/>
        <w:ind w:left="644" w:firstLine="0"/>
        <w:jc w:val="center"/>
        <w:rPr>
          <w:bCs/>
        </w:rPr>
      </w:pPr>
    </w:p>
    <w:p w:rsidR="00B608FA" w:rsidRPr="00B608FA" w:rsidRDefault="00B608FA" w:rsidP="00B608FA">
      <w:pPr>
        <w:pStyle w:val="1"/>
        <w:jc w:val="center"/>
        <w:rPr>
          <w:b/>
          <w:bCs/>
        </w:rPr>
      </w:pPr>
      <w:bookmarkStart w:id="23" w:name="_GoBack"/>
      <w:bookmarkEnd w:id="23"/>
      <w:r w:rsidRPr="00B608FA">
        <w:rPr>
          <w:b/>
          <w:bCs/>
        </w:rPr>
        <w:t xml:space="preserve">  </w:t>
      </w:r>
    </w:p>
    <w:p w:rsidR="00B608FA" w:rsidRPr="007F1C8D" w:rsidRDefault="00B608FA" w:rsidP="007F1C8D">
      <w:pPr>
        <w:pStyle w:val="1"/>
        <w:jc w:val="center"/>
        <w:rPr>
          <w:bCs/>
        </w:rPr>
      </w:pPr>
    </w:p>
    <w:sectPr w:rsidR="00B608FA" w:rsidRPr="007F1C8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2D" w:rsidRDefault="00EE3D2D">
      <w:r>
        <w:separator/>
      </w:r>
    </w:p>
  </w:endnote>
  <w:endnote w:type="continuationSeparator" w:id="0">
    <w:p w:rsidR="00EE3D2D" w:rsidRDefault="00EE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2D" w:rsidRDefault="00EE3D2D">
      <w:r>
        <w:separator/>
      </w:r>
    </w:p>
  </w:footnote>
  <w:footnote w:type="continuationSeparator" w:id="0">
    <w:p w:rsidR="00EE3D2D" w:rsidRDefault="00EE3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C2" w:rsidRDefault="00AE27C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C2" w:rsidRDefault="00AE27C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3EF"/>
    <w:multiLevelType w:val="hybridMultilevel"/>
    <w:tmpl w:val="AFB65DB4"/>
    <w:lvl w:ilvl="0" w:tplc="1366A43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B2239"/>
    <w:multiLevelType w:val="multilevel"/>
    <w:tmpl w:val="5AE450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8E522E3"/>
    <w:multiLevelType w:val="hybridMultilevel"/>
    <w:tmpl w:val="118C9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46129"/>
    <w:multiLevelType w:val="multilevel"/>
    <w:tmpl w:val="DEC616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ind w:left="142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51A7492"/>
    <w:multiLevelType w:val="multilevel"/>
    <w:tmpl w:val="DEC616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ind w:left="284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5B201F5"/>
    <w:multiLevelType w:val="multilevel"/>
    <w:tmpl w:val="82AA48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B8D7DB6"/>
    <w:multiLevelType w:val="multilevel"/>
    <w:tmpl w:val="F5F8BDF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4F9626F"/>
    <w:multiLevelType w:val="hybridMultilevel"/>
    <w:tmpl w:val="B3683FE0"/>
    <w:lvl w:ilvl="0" w:tplc="9D041A70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F36BE"/>
    <w:multiLevelType w:val="hybridMultilevel"/>
    <w:tmpl w:val="769A50EE"/>
    <w:lvl w:ilvl="0" w:tplc="C0BA2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4A3313"/>
    <w:multiLevelType w:val="multilevel"/>
    <w:tmpl w:val="1BAA8D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BD"/>
    <w:rsid w:val="0001467D"/>
    <w:rsid w:val="00020EC2"/>
    <w:rsid w:val="000222D5"/>
    <w:rsid w:val="00052A40"/>
    <w:rsid w:val="00057782"/>
    <w:rsid w:val="00060ACA"/>
    <w:rsid w:val="001B623A"/>
    <w:rsid w:val="001C1B13"/>
    <w:rsid w:val="00201EB8"/>
    <w:rsid w:val="0022577F"/>
    <w:rsid w:val="002A3F48"/>
    <w:rsid w:val="002B72BC"/>
    <w:rsid w:val="002E5417"/>
    <w:rsid w:val="002F299D"/>
    <w:rsid w:val="002F67E3"/>
    <w:rsid w:val="003371D7"/>
    <w:rsid w:val="00340D9C"/>
    <w:rsid w:val="00352239"/>
    <w:rsid w:val="003706D2"/>
    <w:rsid w:val="00373B1D"/>
    <w:rsid w:val="003B2215"/>
    <w:rsid w:val="00406D5E"/>
    <w:rsid w:val="0042489C"/>
    <w:rsid w:val="00461038"/>
    <w:rsid w:val="00476103"/>
    <w:rsid w:val="004A4361"/>
    <w:rsid w:val="004A7648"/>
    <w:rsid w:val="004E361B"/>
    <w:rsid w:val="005355CB"/>
    <w:rsid w:val="00554545"/>
    <w:rsid w:val="005E2434"/>
    <w:rsid w:val="0066196F"/>
    <w:rsid w:val="00666A4A"/>
    <w:rsid w:val="006725A4"/>
    <w:rsid w:val="006B07D9"/>
    <w:rsid w:val="006B65CC"/>
    <w:rsid w:val="006F03D3"/>
    <w:rsid w:val="0074005D"/>
    <w:rsid w:val="007B02BC"/>
    <w:rsid w:val="007E33E1"/>
    <w:rsid w:val="007F1C8D"/>
    <w:rsid w:val="007F48F4"/>
    <w:rsid w:val="00812023"/>
    <w:rsid w:val="00854657"/>
    <w:rsid w:val="00854FBD"/>
    <w:rsid w:val="00856DA6"/>
    <w:rsid w:val="0089744F"/>
    <w:rsid w:val="008A5C9B"/>
    <w:rsid w:val="008C1340"/>
    <w:rsid w:val="008D5AEB"/>
    <w:rsid w:val="008D761C"/>
    <w:rsid w:val="00941268"/>
    <w:rsid w:val="0097365F"/>
    <w:rsid w:val="0097727E"/>
    <w:rsid w:val="009D6B13"/>
    <w:rsid w:val="00A07441"/>
    <w:rsid w:val="00A43DF6"/>
    <w:rsid w:val="00A461A8"/>
    <w:rsid w:val="00A46EB7"/>
    <w:rsid w:val="00A47210"/>
    <w:rsid w:val="00AA6E29"/>
    <w:rsid w:val="00AC5411"/>
    <w:rsid w:val="00AC5E53"/>
    <w:rsid w:val="00AE27C2"/>
    <w:rsid w:val="00AE6AA5"/>
    <w:rsid w:val="00B1223E"/>
    <w:rsid w:val="00B20D2D"/>
    <w:rsid w:val="00B31BB3"/>
    <w:rsid w:val="00B608FA"/>
    <w:rsid w:val="00B87010"/>
    <w:rsid w:val="00BC50F2"/>
    <w:rsid w:val="00BE2F7A"/>
    <w:rsid w:val="00C03A24"/>
    <w:rsid w:val="00C07704"/>
    <w:rsid w:val="00C363B7"/>
    <w:rsid w:val="00C53E5C"/>
    <w:rsid w:val="00C624CC"/>
    <w:rsid w:val="00C8606D"/>
    <w:rsid w:val="00CA76B5"/>
    <w:rsid w:val="00CD7F7C"/>
    <w:rsid w:val="00DA77D9"/>
    <w:rsid w:val="00E01608"/>
    <w:rsid w:val="00E40D3B"/>
    <w:rsid w:val="00EB4599"/>
    <w:rsid w:val="00EE3D2D"/>
    <w:rsid w:val="00EF4894"/>
    <w:rsid w:val="00F25A2B"/>
    <w:rsid w:val="00F43E41"/>
    <w:rsid w:val="00F7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07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6B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B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66A4A"/>
    <w:pPr>
      <w:spacing w:after="0" w:line="240" w:lineRule="auto"/>
    </w:pPr>
    <w:rPr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2B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97365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97365F"/>
    <w:pPr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customStyle="1" w:styleId="8">
    <w:name w:val="Сетка таблицы8"/>
    <w:basedOn w:val="a1"/>
    <w:uiPriority w:val="59"/>
    <w:rsid w:val="0097365F"/>
    <w:pPr>
      <w:spacing w:after="0" w:line="240" w:lineRule="auto"/>
    </w:pPr>
    <w:rPr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97365F"/>
    <w:pPr>
      <w:spacing w:after="0" w:line="240" w:lineRule="auto"/>
    </w:pPr>
    <w:rPr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608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07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6B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B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66A4A"/>
    <w:pPr>
      <w:spacing w:after="0" w:line="240" w:lineRule="auto"/>
    </w:pPr>
    <w:rPr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2B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97365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97365F"/>
    <w:pPr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customStyle="1" w:styleId="8">
    <w:name w:val="Сетка таблицы8"/>
    <w:basedOn w:val="a1"/>
    <w:uiPriority w:val="59"/>
    <w:rsid w:val="0097365F"/>
    <w:pPr>
      <w:spacing w:after="0" w:line="240" w:lineRule="auto"/>
    </w:pPr>
    <w:rPr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97365F"/>
    <w:pPr>
      <w:spacing w:after="0" w:line="240" w:lineRule="auto"/>
    </w:pPr>
    <w:rPr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608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4FCE-3BE0-4D2C-BD36-9F9B5D1E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5071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 Алексей Сергеевич</dc:creator>
  <cp:lastModifiedBy>Нефёдов Александр Евгеньевич</cp:lastModifiedBy>
  <cp:revision>28</cp:revision>
  <dcterms:created xsi:type="dcterms:W3CDTF">2021-08-11T11:47:00Z</dcterms:created>
  <dcterms:modified xsi:type="dcterms:W3CDTF">2021-08-12T09:02:00Z</dcterms:modified>
</cp:coreProperties>
</file>